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87R16261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2240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2240:</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disbursement of funds from a trust fund account by a title insurance company, title insurance agent, or escrow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2651.202,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money received and deposited in an account through an Automated Clearing House (ACH) transaction if the ACH transaction is irrevocable and final and cannot be canceled or reversed.  The ACH transaction must be a bank-to-bank transfer of funds or a deposit of funds from a customer's account at a depository institution and must not be treated by the depository institution as a consumer payment with respect to chargeback and pullback consumer payment protections.  The transferred funds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linked to and backed by funds in the customer's account at the depository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transferred and deposited into the settlement service provider's escrow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2652.004,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money received and deposited in an account through an Automated Clearing House (ACH) transaction if the ACH transaction is irrevocable and final and cannot be canceled or reversed.  The ACH transaction must be a bank-to-bank transfer of funds or a deposit of funds from a customer's account at a depository institution and must not be treated by the depository institution as a consumer payment with respect to chargeback and pullback consumer payment protections.  The transferred funds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linked to and backed by funds in the customer's account at the depository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transferred and deposited into the settlement service provider's escrow account.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