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87R16511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Button</w:t>
      </w:r>
      <w:r xml:space="preserve">
        <w:tab wTab="150" tlc="none" cTlc="0"/>
      </w:r>
      <w:r>
        <w:t xml:space="preserve">H.B.</w:t>
      </w:r>
      <w:r xml:space="preserve">
        <w:t> </w:t>
      </w:r>
      <w:r>
        <w:t xml:space="preserve">No.</w:t>
      </w:r>
      <w:r xml:space="preserve">
        <w:t> </w:t>
      </w:r>
      <w:r>
        <w:t xml:space="preserve">2245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2245:</w:t>
      </w: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C.S.H.B.</w:t>
      </w:r>
      <w:r xml:space="preserve">
        <w:t> </w:t>
      </w:r>
      <w:r>
        <w:t xml:space="preserve">No.</w:t>
      </w:r>
      <w:r xml:space="preserve">
        <w:t> </w:t>
      </w:r>
      <w:r>
        <w:t xml:space="preserve">2245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 valorem tax appraisal records maintained by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 Tax Code, is amended by adding Subsections (c), (d), (e), and (f)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appraisal record must have a unique account number.  If an appraisal district changes the account number of an appraisal record, the appraisal district must provide written notice of the change to the property owner as soon as practicable after the change and provide notice of the change in the next notice of appraised value of the property included in the record that is delivered to the property owner under Section 25.19.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does not apply to an appraisal record for a residential property, for an improvement only, or for a property on which a delinquent tax is due. </w:t>
      </w:r>
      <w:r>
        <w:rPr>
          <w:u w:val="single"/>
        </w:rPr>
        <w:t xml:space="preserve"> </w:t>
      </w:r>
      <w:r>
        <w:rPr>
          <w:u w:val="single"/>
        </w:rPr>
        <w:t xml:space="preserve">On the written request of a property owner, the chief appraiser shall combine contiguous parcels or tracts of the owner's real property into a single appraisal record. </w:t>
      </w:r>
      <w:r>
        <w:rPr>
          <w:u w:val="single"/>
        </w:rPr>
        <w:t xml:space="preserve"> </w:t>
      </w:r>
      <w:r>
        <w:rPr>
          <w:u w:val="single"/>
        </w:rPr>
        <w:t xml:space="preserve">On the written request of a property owner, the chief appraiser shall separate identifiable segments of the owner's parcel or tract of real property into individual appraisal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property owner must make a request under Subsection (d) before January 1 of the tax year for which the requested change to the appraisal records is to be made.  The request must contain a legal description as contained in a deed sufficient to describe the property subject to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chief appraiser refuses to combine parcels or tracts, or separate a parcel or tract, on request of a property owner under Subsection (d), the appraisal review board may order the requested change on a motion filed by the property owner under Section 25.25 or a protest filed under Chapter 41.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