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87R7042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2245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to a property owner by an appraisal district of a change in the account number assigned to the property by the district for purposes of the appraisal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25.02,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unique account number is used to identify property in the appraisal records, the appraisal district shall provide notice to the property owner if the appraisal district changes the account number used to identify the property or assigns a new account number to identify all or part of the property.  The notice must be included in the next notice of appraised value of the property that is delivered to the property owner under Section 25.19.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