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87R3949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2253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a person's voter registration on notice that the person has acknowledged that the person is not a citizen.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other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62.113(b)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rPr>
          <w:u w:val="single"/>
        </w:rPr>
        <w:t xml:space="preserve">the county official responsible for administering elections;</w:t>
      </w:r>
    </w:p>
    <w:p w:rsidR="003F3435" w:rsidRDefault="0032493E">
      <w:pPr>
        <w:spacing w:line="480" w:lineRule="auto"/>
        <w:ind w:firstLine="1440"/>
        <w:jc w:val="both"/>
      </w:pPr>
      <w:r>
        <w:rPr>
          <w:u w:val="single"/>
        </w:rPr>
        <w:t xml:space="preserve">(3)</w:t>
      </w:r>
      <w:r xml:space="preserve">
        <w:t> </w:t>
      </w:r>
      <w:r xml:space="preserve">
        <w:t> </w:t>
      </w:r>
      <w:r>
        <w:t xml:space="preserve">the secretary of state;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county or district attorney, as applicable, for an investigation of whether the person committed an offense under Section 13.007 </w:t>
      </w:r>
      <w:r>
        <w:rPr>
          <w:u w:val="single"/>
        </w:rPr>
        <w:t xml:space="preserve">or 64.012</w:t>
      </w:r>
      <w:r>
        <w:t xml:space="preserve">, Election Code, or other law.</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w:t>
      </w:r>
      <w:r>
        <w:rPr>
          <w:u w:val="single"/>
        </w:rPr>
        <w:t xml:space="preserve">16.031(a)(8)</w:t>
      </w:r>
      <w:r>
        <w:t xml:space="preserve"> [</w:t>
      </w:r>
      <w:r>
        <w:rPr>
          <w:strike/>
        </w:rPr>
        <w:t xml:space="preserve">16.0332</w:t>
      </w:r>
      <w:r>
        <w:t xml:space="preserve">] or 18.068, Election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16.0332, Election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