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Guerra, Guillen, González of El Paso,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bilingual special education certification to teach students of limited English proficiency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21, Education Code, is amended by adding Section 21.04891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21.04891.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BILINGUAL SPECIAL EDUCATION CERTIFICATION.  (a)  In this section, "limited English proficiency" has the meaning assigned by Section 29.052.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ensure that there are teachers with special training in providing instruction to students of limited English proficiency with disabilities, the board shall establish a bilingual special education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 certificate established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satisfactorily complete the coursework for that certificate in an educator preparation program, including a skills-based course of instruction on providing instruction to students of limited English proficiency with disabilities, which must include instruction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foundations of bilingual, multicultural, and second language special education;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culturally responsive individualized education programs for students of limited English proficiency with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assessment for equity and inclusion of students of limited English proficiency with and without disabilities;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teaching methods to recognize the intellectual, developmental, and emotional needs of students in dual language and transitional bilingual education settings;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teaching fundamental academic skills, including reading, writing, and mathematics, to students of limited English proficiency;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dynamic and collaborative partnerships with families and school professionals;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 satisfactorily on a bilingual special education certificate examination prescribed by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any other requirements prescribed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State Board for Educator Certification shall propose rules: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establishing requirements and prescribing an examination for a bilingual special education certificate as required by Section 21.04891, Education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establishing standards to govern the approval and renewal of approval of educator preparation programs for bilingual special education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