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Guerra, Guillen, González of El Paso,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2256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creating a bilingual special education certification to teach students of limited English proficiency with disabilities.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21, Education Code, is amended by adding Section 21.04891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21.04891.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BILINGUAL SPECIAL EDUCATION CERTIFICATION.  (a)  In this section, "limited English proficiency" has the meaning assigned by Section 29.052.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ensure that there are teachers with special training in providing instruction to students of limited English proficiency with disabilities, the board shall establish a bilingual special education certificate.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be eligible for a certificate established under this section, a person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satisfactorily complete the coursework for that certificate in an educator preparation program, including a skills-based course of instruction on providing instruction to students of limited English proficiency with disabilities, which must include instruction 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foundations of bilingual, multicultural, and second language special education;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culturally responsive individualized education programs for students of limited English proficiency with disabilities;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assessment for equity and inclusion of students of limited English proficiency with and without disabilities;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developing teaching methods to recognize the intellectual, developmental, and emotional needs of students in dual language and transitional bilingual education settings;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teaching fundamental academic skills, including reading, writing, and mathematics, to students of limited English proficiency;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creating dynamic and collaborative partnerships with families and school professionals;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 satisfactorily on a bilingual special education certificate examination prescribed by the board;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satisfy any other requirements prescribed by the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State Board for Educator Certification shall propose rules: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establishing requirements and prescribing an examination for a bilingual special education certificate as required by Section 21.04891, Education Code, as added by this Act;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establishing standards to govern the approval and renewal of approval of educator preparation programs for bilingual special education certification.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