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87R7705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used by a candidate on an application for a place on the ballot and the form of a candidate's name on a ballot;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52.031(b)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combination with the surname, a candidate may use one or more of the following:</w:t>
      </w:r>
    </w:p>
    <w:p w:rsidR="003F3435" w:rsidRDefault="0032493E">
      <w:pPr>
        <w:spacing w:line="480" w:lineRule="auto"/>
        <w:ind w:firstLine="1440"/>
        <w:jc w:val="both"/>
      </w:pPr>
      <w:r>
        <w:t xml:space="preserve">(1)</w:t>
      </w:r>
      <w:r xml:space="preserve">
        <w:t> </w:t>
      </w:r>
      <w:r xml:space="preserve">
        <w:t> </w:t>
      </w:r>
      <w:r>
        <w:t xml:space="preserve">a given name;</w:t>
      </w:r>
    </w:p>
    <w:p w:rsidR="003F3435" w:rsidRDefault="0032493E">
      <w:pPr>
        <w:spacing w:line="480" w:lineRule="auto"/>
        <w:ind w:firstLine="1440"/>
        <w:jc w:val="both"/>
      </w:pPr>
      <w:r>
        <w:t xml:space="preserve">(2)</w:t>
      </w:r>
      <w:r xml:space="preserve">
        <w:t> </w:t>
      </w:r>
      <w:r xml:space="preserve">
        <w:t> </w:t>
      </w:r>
      <w:r>
        <w:t xml:space="preserve">a contraction or familiar form of a given name by which the candidate is known;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initial of a given name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name under which the candidate is known, if the candidate has supplied the required affidavits under Section 141.031(e)</w:t>
      </w:r>
      <w:r>
        <w:t xml:space="preserve">.</w:t>
      </w:r>
    </w:p>
    <w:p w:rsidR="003F3435" w:rsidRDefault="0032493E">
      <w:pPr>
        <w:spacing w:line="480" w:lineRule="auto"/>
        <w:ind w:firstLine="720"/>
        <w:jc w:val="both"/>
      </w:pPr>
      <w:r>
        <w:t xml:space="preserve">(c)</w:t>
      </w:r>
      <w:r xml:space="preserve">
        <w:t> </w:t>
      </w:r>
      <w:r xml:space="preserve">
        <w:t> </w:t>
      </w:r>
      <w:r>
        <w:t xml:space="preserve">A nickname of one unhyphenated word of not more than 10 letters by which the candidate has been commonly known for at least three years preceding the election may be used in combination with a candidate's name.  A nickname that constitutes a slogan or otherwise indicates a political, economic, social, or religious view or affiliation may not be used.  A nickname may not be used unless the candidate </w:t>
      </w:r>
      <w:r>
        <w:rPr>
          <w:u w:val="single"/>
        </w:rPr>
        <w:t xml:space="preserve">has complied with the requirements of Section 141.031(e)</w:t>
      </w:r>
      <w:r>
        <w:t xml:space="preserve"> [</w:t>
      </w:r>
      <w:r>
        <w:rPr>
          <w:strike/>
        </w:rPr>
        <w:t xml:space="preserve">executes and files with the application for a place on the ballot an affidavit indicating that the nickname complies with this subsection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141.031,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r>
        <w:rPr>
          <w:u w:val="single"/>
        </w:rPr>
        <w:t xml:space="preserve">, and if the candidate is seeking to run under a name other than the candidate's surname acquired by law or marriage and given name, or a contraction or familiar form of a given name by which the candidate is known or an initial of a given name, the affidavits required by Subsection (e)</w:t>
      </w:r>
      <w:r>
        <w:t xml:space="preserv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t xml:space="preserve">a statement that the candidate has not been finally convicted of a felony from which the candidate has not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 "I,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573, Government Code; and</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candidate seeking to have placed on the ballot a name other than the candidate's surname acquired by law or marriage and given name, or a contraction or familiar form of a given name by which the candidate is known or an initial of a given name, must include with the application 50 affidavits,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a person eligible to vote in the election for which the candidate is applying;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that the candidate is known to the person signing the affidavit by the name under which the candidate is seeking to run.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gives false information in order to acquire the affidavits required by Subsection (e) or who induces a person to sign a false affidavit submitted under Subsection (e) is liable to the state for a civil penalty in an amount not to exceed $10,000.  A suit brought under this subsection shall be advanced for trial and determined as expeditiously as possible.  No postponement or continuance shall be granted except for reasons considered imperative by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a ballot to be voted by mail submitted on or after the effective date of this Act.  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