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2262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registration and inspection requirements for certain local government fleet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502, Transportation Code, is amended by adding Section 502.0025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502.0025.</w:t>
      </w:r>
      <w:r>
        <w:rPr>
          <w:u w:val="single"/>
        </w:rPr>
        <w:t xml:space="preserve"> </w:t>
      </w:r>
      <w:r>
        <w:rPr>
          <w:u w:val="single"/>
        </w:rPr>
        <w:t xml:space="preserve"> </w:t>
      </w:r>
      <w:r>
        <w:rPr>
          <w:u w:val="single"/>
        </w:rPr>
        <w:t xml:space="preserve">EXTENDED REGISTRATION AND INSPECTION OF CERTAIN LOCAL GOVERNMENT FLEET VEHICLES.  (a)  Notwithstanding the annual registration requirements of Sections 502.044 and 502.453 and the annual inspection requirement of Section 548.101, a county or municipality in this state that owns and operates a motor vehicle, trailer, or semitrailer that is exempt from the payment of a registration fee under Section 502.453 may choose to register some or all of those vehicles under this chapter, and provide for the inspection of those vehicles under Chapter 548, for an extended registration and inspection period of three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county or municipality must provide for the timely inspection of those vehicles before registration in accordance with Section 502.047.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