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87R10255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disconnection notices for water and sewer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13.137,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13.137.</w:t>
      </w:r>
      <w:r xml:space="preserve">
        <w:t> </w:t>
      </w:r>
      <w:r xml:space="preserve">
        <w:t> </w:t>
      </w:r>
      <w:r>
        <w:rPr>
          <w:u w:val="single"/>
        </w:rPr>
        <w:t xml:space="preserve">UTILITY</w:t>
      </w:r>
      <w:r>
        <w:t xml:space="preserve"> [</w:t>
      </w:r>
      <w:r>
        <w:rPr>
          <w:strike/>
        </w:rPr>
        <w:t xml:space="preserve">OFFICE AND OTHER</w:t>
      </w:r>
      <w:r>
        <w:t xml:space="preserve">] BUSINESS </w:t>
      </w:r>
      <w:r>
        <w:rPr>
          <w:u w:val="single"/>
        </w:rPr>
        <w:t xml:space="preserve">PROCESSES AND</w:t>
      </w:r>
      <w:r>
        <w:t xml:space="preserve"> [</w:t>
      </w:r>
      <w:r>
        <w:rPr>
          <w:strike/>
        </w:rPr>
        <w:t xml:space="preserve">LOCATIONS OF UTILITY;</w:t>
      </w:r>
      <w:r>
        <w:t xml:space="preserve">] RECORDS[</w:t>
      </w:r>
      <w:r>
        <w:rPr>
          <w:strike/>
        </w:rPr>
        <w:t xml:space="preserve">; REMOVAL FROM STATE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13.137, Water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utility shall mail and hand deliver in a separate written statement a disconnection notice to a customer at least 14 days before the date the utility disconnects the customer's service, unless a shorter time is authorized by the utility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 to a disconnection of water or sewer service that is scheduled on or after September 15,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