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critical infrastructure resiliency and financing.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Water Code, is amended by adding Subchapter N to read as follows:</w:t>
      </w:r>
    </w:p>
    <w:p w:rsidR="003F3435" w:rsidRDefault="0032493E">
      <w:pPr>
        <w:spacing w:line="480" w:lineRule="auto"/>
        <w:jc w:val="center"/>
      </w:pPr>
      <w:r>
        <w:rPr>
          <w:u w:val="single"/>
        </w:rPr>
        <w:t xml:space="preserve">SUBCHAPTER N.  WATER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17.995.</w:t>
      </w:r>
      <w:r>
        <w:rPr>
          <w:u w:val="single"/>
        </w:rPr>
        <w:t xml:space="preserve"> </w:t>
      </w:r>
      <w:r>
        <w:rPr>
          <w:u w:val="single"/>
        </w:rPr>
        <w:t xml:space="preserve"> </w:t>
      </w:r>
      <w:r>
        <w:rPr>
          <w:u w:val="single"/>
        </w:rPr>
        <w:t xml:space="preserve">DEFINITION.  In this subchapter, "infrastructure fund" means the water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17.995.</w:t>
      </w:r>
      <w:r>
        <w:rPr>
          <w:u w:val="single"/>
        </w:rPr>
        <w:t xml:space="preserve"> </w:t>
      </w:r>
      <w:r>
        <w:rPr>
          <w:u w:val="single"/>
        </w:rPr>
        <w:t xml:space="preserve"> </w:t>
      </w:r>
      <w:r>
        <w:rPr>
          <w:u w:val="single"/>
        </w:rPr>
        <w:t xml:space="preserve">WATER INFRASTRUCTURE RESILIENCY FUND.  (a)  The water resilience infrastructure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infrastructure fund may be used by the board,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infrastructure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infrastructure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infrastructure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money credited to the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depository interest allocable to the infrastructure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from gifts, grants, or donations to the infrastructure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revenue bonds or other sources designated by the commission for deposit to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17.996.</w:t>
      </w:r>
      <w:r>
        <w:rPr>
          <w:u w:val="single"/>
        </w:rPr>
        <w:t xml:space="preserve"> </w:t>
      </w:r>
      <w:r>
        <w:rPr>
          <w:u w:val="single"/>
        </w:rPr>
        <w:t xml:space="preserve"> </w:t>
      </w:r>
      <w:r>
        <w:rPr>
          <w:u w:val="single"/>
        </w:rPr>
        <w:t xml:space="preserve">USE OF INFRASTRUCTURE FUND.  (a)  The board may use the infrastructure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grant to an entity for weatherizing and hardening water and wastewater systems, including, but not limited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covering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purchasing reserve power supply such as such as onsite generation and energy storage systems;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building connectivity to neighboring water suppliers;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the board in administering the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grants under Subsection (a), the board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 income communities;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equitable geographic distribution of grants awarded throughout the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projects that utilize distributed energy resources;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existence of matching federal funds for the project and if available federal funds have been exhausted;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total effect of the project's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Eligible entities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government entities that provide water or wastewater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entities that provide water or wastewater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investor-owned entities that provide water or wastewater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Grants under this subsection require a match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entities under subsections (c)(1) and (c)(2) are required to provide a match of at least 10 percent with at least 5 percent of that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entities under subsections (c)(3) are required to provide a match of at least 50 percent with at least 30 percent of that coming directly from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17.997.</w:t>
      </w:r>
      <w:r>
        <w:rPr>
          <w:u w:val="single"/>
        </w:rPr>
        <w:t xml:space="preserve"> </w:t>
      </w:r>
      <w:r>
        <w:rPr>
          <w:u w:val="single"/>
        </w:rPr>
        <w:t xml:space="preserve"> </w:t>
      </w:r>
      <w:r>
        <w:rPr>
          <w:u w:val="single"/>
        </w:rPr>
        <w:t xml:space="preserve">RULES.  (a)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infrastructure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CRITICAL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418.262.</w:t>
      </w:r>
      <w:r>
        <w:rPr>
          <w:u w:val="single"/>
        </w:rPr>
        <w:t xml:space="preserve"> </w:t>
      </w:r>
      <w:r>
        <w:rPr>
          <w:u w:val="single"/>
        </w:rPr>
        <w:t xml:space="preserve"> </w:t>
      </w:r>
      <w:r>
        <w:rPr>
          <w:u w:val="single"/>
        </w:rPr>
        <w:t xml:space="preserve">DEFINITION.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"Infrastructure fund" means the critical infrastructure resiliency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418.263.</w:t>
      </w:r>
      <w:r>
        <w:rPr>
          <w:u w:val="single"/>
        </w:rPr>
        <w:t xml:space="preserve"> </w:t>
      </w:r>
      <w:r>
        <w:rPr>
          <w:u w:val="single"/>
        </w:rPr>
        <w:t xml:space="preserve"> </w:t>
      </w:r>
      <w:r>
        <w:rPr>
          <w:u w:val="single"/>
        </w:rPr>
        <w:t xml:space="preserve">CRITICAL INFRASTRUCTURE RESILIENCY FUND.  (a)  The critical infrastructure resiliency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infrastructure fund may be used by the division,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infrastructure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infrastructure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infrastructure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money credited to the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depository interest allocable to the infrastructure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from gifts, grants, or donations to the infrastructure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revenue bonds or other sources designated by the commission for deposit to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418.264.</w:t>
      </w:r>
      <w:r>
        <w:rPr>
          <w:u w:val="single"/>
        </w:rPr>
        <w:t xml:space="preserve"> </w:t>
      </w:r>
      <w:r>
        <w:rPr>
          <w:u w:val="single"/>
        </w:rPr>
        <w:t xml:space="preserve"> </w:t>
      </w:r>
      <w:r>
        <w:rPr>
          <w:u w:val="single"/>
        </w:rPr>
        <w:t xml:space="preserve">USE OF INFRASTRUCTURE FUND.  (a)  The division may use the infrastructure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grant to an entity for the purposes described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the division in administering the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grants under Subsection (a), the division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 income communities;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equitable geographic distribution of grants awarded throughout the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projects that utilize distributed energy resources;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existence of matching federal funds for the project and if available federal funds have been exhausted;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total effect of the project's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Eligible entities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municipally-owned electric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cooperatives;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investor-owned utilities;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government-owned hospitals;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non-profit hospitals;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for-profit hospitals;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telecommunications providers.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Grants under this subsection require a match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entities under subsections (c)(1), (c)(2), (c)(4), and (c)(5) are required to provide a match of at least 10 percent with at least 5 percent of that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entities under subsections (c)(3), (c)(6), and (c)(7) are required to provide a match of at least 50 percent with at least 30 percent of that coming directly from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418.265.</w:t>
      </w:r>
      <w:r>
        <w:rPr>
          <w:u w:val="single"/>
        </w:rPr>
        <w:t xml:space="preserve"> </w:t>
      </w:r>
      <w:r>
        <w:rPr>
          <w:u w:val="single"/>
        </w:rPr>
        <w:t xml:space="preserve"> </w:t>
      </w:r>
      <w:r>
        <w:rPr>
          <w:u w:val="single"/>
        </w:rPr>
        <w:t xml:space="preserve">ELECTRIC GRID IMPROVEMENT ACCOUNT.  (a)  The electric grid improvement account is an account of the critical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directly appropriated to the 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or grants from the United States government, local or regional governments, private sources, or other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to provide grants for activities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localized improvements to the electric grid and other energy systems with onsite generation including, but not limited to, smart metering;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improvements at and between buildings to create micro-grids using onsite generation and energy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418.266.</w:t>
      </w:r>
      <w:r>
        <w:rPr>
          <w:u w:val="single"/>
        </w:rPr>
        <w:t xml:space="preserve"> </w:t>
      </w:r>
      <w:r>
        <w:rPr>
          <w:u w:val="single"/>
        </w:rPr>
        <w:t xml:space="preserve"> </w:t>
      </w:r>
      <w:r>
        <w:rPr>
          <w:u w:val="single"/>
        </w:rPr>
        <w:t xml:space="preserve">LOCAL COMMUNICATIONS RESILIENCY ACCOUNT.  (a)  The local communications resiliency account is an account of the critical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directly appropriated to the 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or grants from the United States government, local or regional governments, private sources, or other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to provide grants for activities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hardening lines of emergency communication;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reserve power supply such as onsite generation and energy storage systems necessary to sustain emergency communications.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418.267.</w:t>
      </w:r>
      <w:r>
        <w:rPr>
          <w:u w:val="single"/>
        </w:rPr>
        <w:t xml:space="preserve"> </w:t>
      </w:r>
      <w:r>
        <w:rPr>
          <w:u w:val="single"/>
        </w:rPr>
        <w:t xml:space="preserve"> </w:t>
      </w:r>
      <w:r>
        <w:rPr>
          <w:u w:val="single"/>
        </w:rPr>
        <w:t xml:space="preserve">MEDICAL INFRASTRUCTURE RESILIENCY ACCOUNT.  (a)  The medical infrastructure resiliency account is an account of the critical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directly appropriated to the 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from gifts or grants from the United States government, local or regional governments, private sources, or other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to provide grants for activities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purchasing reserve power supply such as onsite generation and energy storage systems necessary to sustain critical medical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418.268.</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infrastructure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the creation of the modern infrastructure fund to assist in the financing of modern electric, transportation, and communications infrastructure projects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