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87R8892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H.B.</w:t>
      </w:r>
      <w:r xml:space="preserve">
        <w:t> </w:t>
      </w:r>
      <w:r>
        <w:t xml:space="preserve">No.</w:t>
      </w:r>
      <w:r xml:space="preserve">
        <w:t> </w:t>
      </w:r>
      <w:r>
        <w:t xml:space="preserve">2299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for taking possession of a child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262.201(g), (h), and (j), Family Code, are amended to read as follows:</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the parent, managing conservator, possessory conservator, guardian, caretaker, or custodian entitled to possession unless the court finds </w:t>
      </w:r>
      <w:r>
        <w:rPr>
          <w:u w:val="single"/>
        </w:rPr>
        <w:t xml:space="preserve">by a preponderance of the</w:t>
      </w:r>
      <w:r>
        <w:t xml:space="preserve"> [</w:t>
      </w:r>
      <w:r>
        <w:rPr>
          <w:strike/>
        </w:rPr>
        <w:t xml:space="preserve">sufficient</w:t>
      </w:r>
      <w:r>
        <w:t xml:space="preserve">] evidence [</w:t>
      </w:r>
      <w:r>
        <w:rPr>
          <w:strike/>
        </w:rPr>
        <w:t xml:space="preserve">to satisfy a person of ordinary prudence and caution</w:t>
      </w:r>
      <w:r>
        <w:t xml:space="preserve">]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w:t>
      </w:r>
      <w:r>
        <w:rPr>
          <w:u w:val="single"/>
        </w:rPr>
        <w:t xml:space="preserve">by a preponderance of the</w:t>
      </w:r>
      <w:r>
        <w:t xml:space="preserve"> [</w:t>
      </w:r>
      <w:r>
        <w:rPr>
          <w:strike/>
        </w:rPr>
        <w:t xml:space="preserve">sufficient</w:t>
      </w:r>
      <w:r>
        <w:t xml:space="preserve">] evidence [</w:t>
      </w:r>
      <w:r>
        <w:rPr>
          <w:strike/>
        </w:rPr>
        <w:t xml:space="preserve">to satisfy a person of ordinary prudence and caution</w:t>
      </w:r>
      <w:r>
        <w:t xml:space="preserve">] that there is a continuing danger to the physical health or safety of the child and for the child to remain in the home is contrary to the welfare of the child, the court shall issue an appropriate temporary order under Chapter 105.</w:t>
      </w:r>
    </w:p>
    <w:p w:rsidR="003F3435" w:rsidRDefault="0032493E">
      <w:pPr>
        <w:spacing w:line="480" w:lineRule="auto"/>
        <w:ind w:firstLine="720"/>
        <w:jc w:val="both"/>
      </w:pPr>
      <w:r>
        <w:t xml:space="preserve">(j)</w:t>
      </w:r>
      <w:r xml:space="preserve">
        <w:t> </w:t>
      </w:r>
      <w:r xml:space="preserve">
        <w:t> </w:t>
      </w:r>
      <w:r>
        <w:t xml:space="preserve">In a suit filed under Section 262.113, at the conclusion of the full adversary hearing, the court shall issue an appropriate temporary order under Chapter 105 if the court finds </w:t>
      </w:r>
      <w:r>
        <w:rPr>
          <w:u w:val="single"/>
        </w:rPr>
        <w:t xml:space="preserve">by a preponderance of the</w:t>
      </w:r>
      <w:r>
        <w:t xml:space="preserve"> [</w:t>
      </w:r>
      <w:r>
        <w:rPr>
          <w:strike/>
        </w:rPr>
        <w:t xml:space="preserve">sufficient</w:t>
      </w:r>
      <w:r>
        <w:t xml:space="preserve">] evidence [</w:t>
      </w:r>
      <w:r>
        <w:rPr>
          <w:strike/>
        </w:rPr>
        <w:t xml:space="preserve">to satisfy a person of ordinary prudence and caution</w:t>
      </w:r>
      <w:r>
        <w:t xml:space="preserve">]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continuation of the child in the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262.201, Family Code, as amended by this Act, applies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