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87R10991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for participants in the address confidentiality program administered by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required to provide the street address of the petitioner's place of residence or the petitioner's reason for the requested change of name as otherwise required by Subsection (a)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it is presumed that a change of name is in the interest or to the benefit of the petitioner and in the interest of the public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order issued under this section to change the name of a petitioner described by Subsection (a-1) is confidential and may not be released by the court to any person, regardless of whether the petitioner continues to participate in the address confidentiality program following the change of name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change of name that is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