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87R16349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Darby, Hernandez,</w:t>
      </w:r>
      <w:r xml:space="preserve">
        <w:tab wTab="150" tlc="none" cTlc="0"/>
      </w:r>
      <w:r>
        <w:t xml:space="preserve">H.B.</w:t>
      </w:r>
      <w:r xml:space="preserve">
        <w:t> </w:t>
      </w:r>
      <w:r>
        <w:t xml:space="preserve">No.</w:t>
      </w:r>
      <w:r xml:space="preserve">
        <w:t> </w:t>
      </w:r>
      <w:r>
        <w:t xml:space="preserve">2305</w:t>
      </w:r>
    </w:p>
    <w:p w:rsidR="003F3435" w:rsidRDefault="0032493E">
      <w:pPr>
        <w:jc w:val="both"/>
      </w:pPr>
      <w:r xml:space="preserve">
        <w:t> </w:t>
      </w:r>
      <w:r xml:space="preserve">
        <w:t> </w:t>
      </w:r>
      <w:r xml:space="preserve">
        <w:t> </w:t>
      </w:r>
      <w:r xml:space="preserve">
        <w:t> </w:t>
      </w:r>
      <w:r xml:space="preserve">
        <w:t> </w:t>
      </w:r>
      <w:r>
        <w:t xml:space="preserve">Guillen, Kuempel,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the Real Estate Research Advisory Committee, and the Texas Real Estate Commission; increasing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or on petition of any six of </w:t>
      </w:r>
      <w:r>
        <w:rPr>
          <w:u w:val="single"/>
        </w:rPr>
        <w:t xml:space="preserve">the committee's</w:t>
      </w:r>
      <w:r>
        <w:t xml:space="preserve"> [</w:t>
      </w:r>
      <w:r>
        <w:rPr>
          <w:strike/>
        </w:rPr>
        <w:t xml:space="preserve">its</w:t>
      </w:r>
      <w:r>
        <w:t xml:space="preserve">] members, or on call of 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in advance of each fiscal year a </w:t>
      </w:r>
      <w:r>
        <w:rPr>
          <w:u w:val="single"/>
        </w:rPr>
        <w:t xml:space="preserve">proposed</w:t>
      </w:r>
      <w:r>
        <w:t xml:space="preserve">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may not receive any compensation for travel expenses, including expenses for meals and lodging, other than transportation expenses.  A member is entitled to compensation for transportation expenses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