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87R10301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resource access assistance offer before an abortion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the physician who is to perform an abortion shall confirm the pregnant woman received a pre-abortion resource access assistance offer, as required by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verifying that the unique identifying number provided to the woman as required by Subsection (d) is recorded in a secure database maintained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documenting the pregnant woman's unique identifying number in the woman's medical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as a counselor, doctor,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an abortion in the last two years;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refer women to an abortion provider, recommend abortion, or take any other action that directly or indirectly advises or assists a woman in obtaining an abortion;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be authorized under a contract with the commission to provide resource access assistance offers and support services on behalf of this state in accordance with this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complete a training program on identifying and assisting victims of human trafficking using a standardized curriculum created by the human trafficking prevention task force established under Section 402.035,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a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pregnant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pregnant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providing the resource access assistance offer, the care agent or the contracting agency that employs the care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the commission using a unique identifying number, devoid of personally identifying information of the pregnant woman, that the pregnant woman received the resource access assistance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the identifying number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report to the commission de-identified demographic information obtained through a resource access assistance offer provided under this section to assist the commission in determining the supply and demand of social services in the pregnant woman's geographic region.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on the commission's Internet website a secure database to store the unique identifying numbers provided under Subsection (d) and that allows the care agent to submit the de-identified information required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provide any information to the care agent or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initiate or complete services offered under this section in order to obtain an abortion;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accepting a resource assistance offer, shall have the offer available for two calendar years regardless of the pregnant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w:t>
      </w:r>
      <w:r>
        <w:t xml:space="preserve"> </w:t>
      </w:r>
      <w:r>
        <w:t xml:space="preserve">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on or after April 1, 2023.  An abortion performed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