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Rose, Meyer, Minjarez</w:t>
      </w:r>
      <w:r xml:space="preserve">
        <w:tab wTab="150" tlc="none" cTlc="0"/>
      </w:r>
      <w:r>
        <w:t xml:space="preserve">H.B.</w:t>
      </w:r>
      <w:r xml:space="preserve">
        <w:t> </w:t>
      </w:r>
      <w:r>
        <w:t xml:space="preserve">No.</w:t>
      </w:r>
      <w:r xml:space="preserve">
        <w:t> </w:t>
      </w:r>
      <w:r>
        <w:t xml:space="preserve">2315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forfeiture of contraband relating to the criminal offense of racing on a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Article 59.01(2), Code of Criminal Procedure, as effective until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Class A misdemeanor or any felony under Section 545.420, Transportation Code, other than a Class A misdemeanor that is classified as a Class A misdemeanor based solely on conduct constituting a violation of Subsection (e)(2)(B) of that section;</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(b)</w:t>
      </w:r>
      <w:r xml:space="preserve">
        <w:t> </w:t>
      </w:r>
      <w:r xml:space="preserve">
        <w:t> </w:t>
      </w:r>
      <w:r>
        <w:t xml:space="preserve">Article 59.01(2), Code of Criminal Procedure, as effective on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(Title 12, Government Code);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Class A misdemeanor or any felony under Section 545.420, Transportation Code, other than a Class A misdemeanor that is classified as a Class A misdemeanor based solely on conduct constituting a violation of Subsection (e)(2)(B) of that section</w:t>
      </w:r>
      <w:r>
        <w:rPr>
          <w:u w:val="single"/>
        </w:rPr>
        <w:t xml:space="preserv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property or proceeds seized on or after the effective date of this Act.  Property or proceeds seized before the effective date of this Act are governed by the law in effect on the date the property or proceeds were seized, and the former law is continued in effect for that purpose.  For purposes of this section, property or proceeds were seized before the effective date of this Act if any portion of the property or proceeds were seized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