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87R7848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Cain, Crockett, et al.</w:t>
      </w:r>
      <w:r xml:space="preserve">
        <w:tab wTab="150" tlc="none" cTlc="0"/>
      </w:r>
      <w:r>
        <w:t xml:space="preserve">H.B.</w:t>
      </w:r>
      <w:r xml:space="preserve">
        <w:t> </w:t>
      </w:r>
      <w:r>
        <w:t xml:space="preserve">No.</w:t>
      </w:r>
      <w:r xml:space="preserve">
        <w:t> </w:t>
      </w:r>
      <w:r>
        <w:t xml:space="preserve">2321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signature verification on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w:t>
      </w:r>
      <w:r>
        <w:rPr>
          <w:u w:val="single"/>
        </w:rPr>
        <w:t xml:space="preserve">The committee shall also compare the signatures with each signature of the voter obtained from the Department of Public Safety and on file with the county clerk or voter registrar.</w:t>
      </w:r>
      <w:r>
        <w:t xml:space="preserve">  The committee may also compare the signatures with any two or more signatures of the voter made within the preceding six years and on file with the county clerk or voter registrar to determine whether the signatures are those of the voter. Except as provided by Subsection (l), a determination under this subsection that the signatures are not those of the voter must be made by a majority vote of the committee's membership.  The committee shall place the jacket envelopes, carrier envelopes, and applications of voters whose signatures are not those of the voter in separate containers from those of voters whose signatures are those of the voter.  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87.041, Election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In making the determination under Subsection (b)(2), the board shall also compare the signatures with each signature of the voter obtained from the Department of Public Safety and on file with the county clerk or voter registrar.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