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87R7848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signature verification on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w:t>
      </w:r>
      <w:r>
        <w:rPr>
          <w:u w:val="single"/>
        </w:rPr>
        <w:t xml:space="preserve">The committee shall also compare the signatures with each signature of the voter obtained from the Department of Public Safety and on file with the county clerk or voter registrar.</w:t>
      </w:r>
      <w:r>
        <w:t xml:space="preserve">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87.041, Election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making the determination under Subsection (b)(2), the board shall also compare the signatures with each signature of the voter obtained from the Department of Public Safety and on file with the county clerk or voter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