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possession and transportation of certain nonindigenous snakes; increasing a criminal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43.851(a),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by rule shall establish permits that allow permit holders to possess or transport in this state a live nonindigenous </w:t>
      </w:r>
      <w:r>
        <w:rPr>
          <w:u w:val="single"/>
        </w:rPr>
        <w:t xml:space="preserve">snake, including a hybrid of any kind, that is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venomous [</w:t>
      </w:r>
      <w:r>
        <w:rPr>
          <w:strike/>
        </w:rPr>
        <w:t xml:space="preserve">snake</w:t>
      </w:r>
      <w:r>
        <w:t xml:space="preserve">];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constrictor that is one of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African rock python, Python sebae;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Asiatic rock python, Python molurus;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Burmese python, Python bivittatus;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 xml:space="preserve">
        <w:t> </w:t>
      </w:r>
      <w:r>
        <w:t xml:space="preserve">green anaconda, Eunectes murinus;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reticulated python, Python reticulatus;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southern African python, Python natalensis.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43.856, Parks and Wildlife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</w:t>
      </w:r>
      <w:r>
        <w:rPr>
          <w:u w:val="single"/>
        </w:rPr>
        <w:t xml:space="preserve">(b) or</w:t>
      </w:r>
      <w:r>
        <w:t xml:space="preserve"> (c), a person who violates this subchapter or a rule adopted under this subchapter commits an offense that is a Class C Parks and Wildlife Code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it is shown at the trial of the defendant for a violation of this subchapter or a rule adopted under this subchapter that the defendant has engaged in a commercial activity without holding a required permit and the defendant has been previously convicted of a violation of this subchapter or a rule adopted under this subchapter, on conviction the defendant shall be punished for a Class B Parks and Wildlife Code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2326 was passed by the House on April 16, 2021, by the following vote:</w:t>
      </w:r>
      <w:r xml:space="preserve">
        <w:t> </w:t>
      </w:r>
      <w:r xml:space="preserve">
        <w:t> </w:t>
      </w:r>
      <w:r>
        <w:t xml:space="preserve">Yeas 141, Nays 4, 2 present, not voting; and that the House concurred in Senate amendments to H.B. No. 2326 on May 24, 2021, by the following vote:</w:t>
      </w:r>
      <w:r xml:space="preserve">
        <w:t> </w:t>
      </w:r>
      <w:r xml:space="preserve">
        <w:t> </w:t>
      </w:r>
      <w:r>
        <w:t xml:space="preserve">Yeas 117, Nays 28,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2326 was passed by the Senate, with amendments,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