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Frullo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Springer)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2326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19,</w:t>
      </w:r>
      <w:r xml:space="preserve">
        <w:t> </w:t>
      </w:r>
      <w:r>
        <w:t xml:space="preserve">2021; April</w:t>
      </w:r>
      <w:r xml:space="preserve">
        <w:t> </w:t>
      </w:r>
      <w:r>
        <w:t xml:space="preserve">20,</w:t>
      </w:r>
      <w:r xml:space="preserve">
        <w:t> </w:t>
      </w:r>
      <w:r>
        <w:t xml:space="preserve">2021, read first time and referred to Committee on Administration; April 26, 2021, rereferred to Committee on Water, Agriculture &amp; Rural Affairs; May</w:t>
      </w:r>
      <w:r xml:space="preserve">
        <w:t> </w:t>
      </w:r>
      <w:r>
        <w:t xml:space="preserve">13,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13,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2326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possession and transportation of certain nonindigenous snakes; increasing a criminal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43.851(a),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 by rule shall establish permits that allow permit holders to possess or transport in this state a live nonindigenous </w:t>
      </w:r>
      <w:r>
        <w:rPr>
          <w:u w:val="single"/>
        </w:rPr>
        <w:t xml:space="preserve">snake, including a hybrid of any kind, that is</w:t>
      </w:r>
      <w: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venomous [</w:t>
      </w:r>
      <w:r>
        <w:rPr>
          <w:strike/>
        </w:rPr>
        <w:t xml:space="preserve">snake</w:t>
      </w:r>
      <w:r>
        <w:t xml:space="preserve">];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constrictor that is one of the following: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African rock python, Python sebae;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Asiatic rock python, Python molurus;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Burmese python, Python bivittatus;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 xml:space="preserve">
        <w:t> </w:t>
      </w:r>
      <w:r xml:space="preserve">
        <w:t> </w:t>
      </w:r>
      <w:r>
        <w:t xml:space="preserve">green anaconda, Eunectes murinus;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 xml:space="preserve">
        <w:t> </w:t>
      </w:r>
      <w:r>
        <w:t xml:space="preserve">[</w:t>
      </w:r>
      <w:r>
        <w:rPr>
          <w:strike/>
        </w:rPr>
        <w:t xml:space="preserve">(D)</w:t>
      </w:r>
      <w:r>
        <w:t xml:space="preserve">]</w:t>
      </w:r>
      <w:r xml:space="preserve">
        <w:t> </w:t>
      </w:r>
      <w:r xml:space="preserve">
        <w:t> </w:t>
      </w:r>
      <w:r>
        <w:t xml:space="preserve">reticulated python, Python reticulatus;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 xml:space="preserve">
        <w:t> </w:t>
      </w:r>
      <w:r>
        <w:t xml:space="preserve">[</w:t>
      </w:r>
      <w:r>
        <w:rPr>
          <w:strike/>
        </w:rPr>
        <w:t xml:space="preserve">(E)</w:t>
      </w:r>
      <w:r>
        <w:t xml:space="preserve">]</w:t>
      </w:r>
      <w:r xml:space="preserve">
        <w:t> </w:t>
      </w:r>
      <w:r xml:space="preserve">
        <w:t> </w:t>
      </w:r>
      <w:r>
        <w:t xml:space="preserve">southern African python, Python natalensis.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43.856, Parks and Wildlife Code, is amended by amending Subsection (a)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</w:t>
      </w:r>
      <w:r>
        <w:rPr>
          <w:u w:val="single"/>
        </w:rPr>
        <w:t xml:space="preserve">(b) or</w:t>
      </w:r>
      <w:r>
        <w:t xml:space="preserve"> (c), a person who violates this subchapter or a rule adopted under this subchapter commits an offense that is a Class C Parks and Wildlife Code misdemeanor.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it is shown at the trial of the defendant for a violation of this subchapter or a rule adopted under this subchapter that the defendant has engaged in a commercial activity without holding a required permit and the defendant has been previously convicted of a violation of this subchapter or a rule adopted under this subchapter, on conviction the defendant shall be punished for a Class B Parks and Wildlife Code misdemeanor.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