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87R2562 JES-D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Middleton</w:t>
      </w:r>
      <w:r xml:space="preserve">
        <w:tab wTab="150" tlc="none" cTlc="0"/>
      </w:r>
      <w:r>
        <w:t xml:space="preserve">H.B.</w:t>
      </w:r>
      <w:r xml:space="preserve">
        <w:t> </w:t>
      </w:r>
      <w:r>
        <w:t xml:space="preserve">No.</w:t>
      </w:r>
      <w:r xml:space="preserve">
        <w:t> </w:t>
      </w:r>
      <w:r>
        <w:t xml:space="preserve">2335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civil liability of certain prosecutors for policies related to the prosecution of rioters.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Title 5, Civil Practice and Remedies Code, is amended by adding Chapter 117 to read as follows:</w:t>
      </w:r>
    </w:p>
    <w:p w:rsidR="003F3435" w:rsidRDefault="0032493E">
      <w:pPr>
        <w:spacing w:line="480" w:lineRule="auto"/>
        <w:jc w:val="center"/>
      </w:pPr>
      <w:r>
        <w:rPr>
          <w:u w:val="single"/>
        </w:rPr>
        <w:t xml:space="preserve">CHAPTER 117.  LIABILITY RELATED TO PROSECUTION OF RIOTERS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117.0001.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"Prosecutor" means a district attorney, criminal district attorney, or county attorney.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"Riot" has the meaning assigned by Section 42.02, Penal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117.0002.</w:t>
      </w:r>
      <w:r>
        <w:rPr>
          <w:u w:val="single"/>
        </w:rPr>
        <w:t xml:space="preserve"> </w:t>
      </w:r>
      <w:r>
        <w:rPr>
          <w:u w:val="single"/>
        </w:rPr>
        <w:t xml:space="preserve"> </w:t>
      </w:r>
      <w:r>
        <w:rPr>
          <w:u w:val="single"/>
        </w:rPr>
        <w:t xml:space="preserve">LIABILITY FOR FAILURE TO PROSECUTE RIOTERS.  (a)  A prosecutor is liable in that individual's official capacity for significant physical injury, death, or property damage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physical injury, death, or property damage: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was caused by criminal conduct that occurred during a riot and in the prosecutor's jurisdiction;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was a foreseeable outcome of the riot;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prosecutor had established, at the time of the riot, a formal or informal policy of not prosecuting an individual who engages in criminal conduct as part of a riot.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prosecutor's public statements regarding riots and evidence showing that a prosecutor routinely did not prosecute individuals who engaged in criminal conduct as part of a riot are admissible in a civil proceeding under Subsection (a) for the purpose of establishing that the prosecutor has established an informal policy described by Subsection (a)(2).</w:t>
      </w:r>
    </w:p>
    <w:p w:rsidR="003F3435" w:rsidRDefault="0032493E">
      <w:pPr>
        <w:spacing w:line="480" w:lineRule="auto"/>
        <w:ind w:firstLine="720"/>
        <w:jc w:val="both"/>
      </w:pPr>
      <w:r>
        <w:rPr>
          <w:u w:val="single"/>
        </w:rPr>
        <w:t xml:space="preserve">Sec.</w:t>
      </w:r>
      <w:r>
        <w:rPr>
          <w:u w:val="single"/>
        </w:rPr>
        <w:t xml:space="preserve"> </w:t>
      </w:r>
      <w:r>
        <w:rPr>
          <w:u w:val="single"/>
        </w:rPr>
        <w:t xml:space="preserve">117.0003.</w:t>
      </w:r>
      <w:r>
        <w:rPr>
          <w:u w:val="single"/>
        </w:rPr>
        <w:t xml:space="preserve"> </w:t>
      </w:r>
      <w:r>
        <w:rPr>
          <w:u w:val="single"/>
        </w:rPr>
        <w:t xml:space="preserve"> </w:t>
      </w:r>
      <w:r>
        <w:rPr>
          <w:u w:val="single"/>
        </w:rPr>
        <w:t xml:space="preserve">WAIVER OF SOVEREIGN AND GOVERNMENTAL IMMUNITY.  Sovereign immunity of this state and governmental immunity of a political subdivision to suit is waived and abolished to the extent of liability created by this 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117, Civil Practice and Remedies Code, as added by this Act, applies only to a cause of action that accrues on or after the effective date of this Act.  A cause of action that accrued before the effective date of this Act is governed by the law applicable to the cause of action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2335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