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87R8642 MTB-D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food and beverages by the Department of Public Safety for certain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411.0132,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411.0132.</w:t>
      </w:r>
      <w:r xml:space="preserve">
        <w:t> </w:t>
      </w:r>
      <w:r xml:space="preserve">
        <w:t> </w:t>
      </w:r>
      <w:r>
        <w:t xml:space="preserve">USE OF FUNDS TO SUPPORT </w:t>
      </w:r>
      <w:r>
        <w:rPr>
          <w:u w:val="single"/>
        </w:rPr>
        <w:t xml:space="preserve">CERTAIN PERSONS</w:t>
      </w:r>
      <w:r>
        <w:t xml:space="preserve"> [</w:t>
      </w:r>
      <w:r>
        <w:rPr>
          <w:strike/>
        </w:rPr>
        <w:t xml:space="preserve">PEACE OFFICER TRAINING</w:t>
      </w:r>
      <w:r>
        <w:t xml:space="preserve">].  The department[</w:t>
      </w:r>
      <w:r>
        <w:rPr>
          <w:strike/>
        </w:rPr>
        <w:t xml:space="preserve">, subject to director approval,</w:t>
      </w:r>
      <w:r>
        <w:t xml:space="preserve">] may use appropriated funds to purchase food and beverages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training functions required of peace officers of the department </w:t>
      </w:r>
      <w:r>
        <w:rPr>
          <w:u w:val="single"/>
        </w:rPr>
        <w:t xml:space="preserve">subject to director approval;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activated to provide services in response to an emergency situation, incident, or disaster;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unable to leave or required to remain at the person's assignment area due to the emergency situation, incident, or disaster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