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Walle, Harris</w:t>
      </w:r>
      <w:r xml:space="preserve">
        <w:tab wTab="150" tlc="none" cTlc="0"/>
      </w:r>
      <w:r>
        <w:t xml:space="preserve">H.B.</w:t>
      </w:r>
      <w:r xml:space="preserve">
        <w:t> </w:t>
      </w:r>
      <w:r>
        <w:t xml:space="preserve">No.</w:t>
      </w:r>
      <w:r xml:space="preserve">
        <w:t> </w:t>
      </w:r>
      <w:r>
        <w:t xml:space="preserve">2350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provided to political subdivisions by the Texas Water Development Board for water resource restoration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15.604(b), Water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adopt rules specifying the manner in which any additional state revolving fund hereafter established by the board, or any capitalization grant under the state water pollution control revolving fund, the safe drinking water revolving fund, or any additional state revolving fund, may be used to provide financial assistance to an eligible applicant for public works.  Such rules shall require financial assistance to be provided for the purpose or purposes and on the terms authorized by the federal legislation or federal agency program under which the additional state revolving fund was established or the capitalization grant was awarded.  </w:t>
      </w:r>
      <w:r>
        <w:rPr>
          <w:u w:val="single"/>
        </w:rPr>
        <w:t xml:space="preserve">To the extent not prohibited by board rule or federal law or regulation, the state water pollution control revolving fund established under this subchapter may be used to provide financial assistance for water resource restoration projects described by Section 15.619.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J, Chapter 15, Water Code, is amended by adding Section 15.619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15.619.</w:t>
      </w:r>
      <w:r>
        <w:rPr>
          <w:u w:val="single"/>
        </w:rPr>
        <w:t xml:space="preserve"> </w:t>
      </w:r>
      <w:r>
        <w:rPr>
          <w:u w:val="single"/>
        </w:rPr>
        <w:t xml:space="preserve"> </w:t>
      </w:r>
      <w:r>
        <w:rPr>
          <w:u w:val="single"/>
        </w:rPr>
        <w:t xml:space="preserve">WATER RESOURCE RESTORATION PROJECTS.  (a) In this section, "water resource restoration project" means nature-based infrastructure that will improve water quality in the political subdivision where the project is located and may include the acquisition of real property and the use of nature-based water treatment technologies.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Based on demand, the board may provide financial assistance to a political subdivision for a locally directed and managed water resource restoration project if the political subdivision applicant will bear responsibility for implementation, stewardship, and maintenance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15.603(d) of this chapter and Section 602(b)(11) of the federal act, the board shall establish a process by which a political subdivision may combine a project funded through the state water pollution control revolving fund that is not for a water resource restoration project with a water resource restoration project. The board may allocate available principal forgiveness for additional subsidization set-asides in the state water pollution control revolving fund for green projects, as those terms are defined by board rule, to the political subdivision to substantially enhance the financial viability of the water resource restoration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proposed water resource restoration project must enhance water quality in the state and include the application of best management practices for the primary purpose of water quality protection and improvement. To the extent permitted by federal law and regulation and United States Environmental Protection Agency guidance, a proposed water resource restoration project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preservation or restoration of regional scale natural landscape features, including forests, floodplains, and wetlands;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that reduce impervious cover in a watershed;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practices that increase water infiltration and retention, including the use of bioretention, trees, green roofs, permeable pavements, rain gardens, constructed wetlands, and cisterns;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implementation of green streets in public rights-of-way;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implementation of a comprehensive street tree or urban forestry program to manage stormwater and enhance tree health;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expanded use of tree box filters;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stormwater collection and distribution systems, including cisterns, separate stormwater sewer systems, and downspout disconnection systems that use onsite stormwater management and remove stormwater from sewer systems;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soil quality enhancement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restoration of native grasses and vegetation that improve water infiltration;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establishment or restoration of permanent riparian buffers, floodplains, wetlands, and other natural features including vegetative buffers, grass swales, soft bioengineered stream banks, and stream daylighting;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management of wetlands to improve water quality and support water infiltration and retention;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sustainable landscaping to improve hydrologic processes.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proposed water resource restoration project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passive recreation activities and trails including bike trails, playgrounds, athletic fields, picnic tables, and picnic grounds;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non-permeable surface parking lots;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stormwater ponds or dirt-lined detention basins that serve an extended or filtration function;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in-line and end-of-pipe treatment systems that only filter or detain stormwater without the use of natural plants and trees;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underground stormwater control and treatment devices, including hydrodynamic separators, baffle systems for grit, trash removal, and oil and grease separators;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stormwater conveyance systems, including pipes and concrete channels, that are not soil or vegetation based;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hardening, channelizing, dredging, or straightening streams or stream banks;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street sweepers, sewer cleaners, and vacuum trucks unless they support nature-based infrastructure projects;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supplemental environmental projects required as a part of an agreed order or consent decree.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water resource restoration project may not include the acquisition of property, an interest in property, or improvements to property through the use of eminent domain.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establish a means of prioritizing water resource restoration projects.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application for financial assistance for a water resource restoration project under this section must include a viability assessment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ability of the applicant to provide proper oversight and management through a certified operator;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ability of the users to support the long-term maintenance of the water resource restoration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