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87R7197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to achieve a college, career, or military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r>
        <w:rPr>
          <w:u w:val="single"/>
        </w:rPr>
        <w:t xml:space="preserve">, during a time period established by commissioner rule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enrolls in a technical or vocational education program</w:t>
      </w:r>
      <w:r>
        <w:t xml:space="preserve"> [</w:t>
      </w:r>
      <w:r>
        <w:rPr>
          <w:strike/>
        </w:rPr>
        <w:t xml:space="preserve">achieves college readiness standards used for accountability purposes under Chapter 39 on the ACT, the SAT, or an assessment instrument designated by the Texas Higher Education Coordinating Board under Section 51.334</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during a time period established by commissioner rule,</w:t>
      </w:r>
      <w:r>
        <w:t xml:space="preserv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