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2357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an exception from required disclosure of information related to certain crime victims and the release to certain entities of autopsy reports of deceased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 Article 49.25, Code of Criminal Procedure,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medical examiner may release a copy of an autopsy report of a deceased person to any organ and tissue procurement organization, hospital, or other covered entity as defined by Section 181.001, Health and Safety Code, that treated the deceased person before death or procured any anatomical gift from the body of the deceased person.  The release of a report under this subsection is not considered a disclosure under Chapter 552, Government Code.  A report obtained under this subsection is confidential and not subject to disclosure under Chapter 552,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552, Government Code, is amended by adding Section 552.1315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552.1315.</w:t>
      </w:r>
      <w:r>
        <w:rPr>
          <w:u w:val="single"/>
        </w:rPr>
        <w:t xml:space="preserve"> </w:t>
      </w:r>
      <w:r>
        <w:rPr>
          <w:u w:val="single"/>
        </w:rPr>
        <w:t xml:space="preserve"> </w:t>
      </w:r>
      <w:r>
        <w:rPr>
          <w:u w:val="single"/>
        </w:rPr>
        <w:t xml:space="preserve">EXCEPTION: CONFIDENTIALITY OF CERTAIN CRIME VICTIM RECORDS.  (a)  Information is confidential and excepted from the requirements of Section 552.021 if the information identifies an individual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victim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offense under Section 20A.02, 20A.03, 21.02, 21.11, 22.011, 22.021, 43.05, or 43.25, Penal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offense that is part of the same criminal episode, as defined by Section 3.01, Penal Code, as an offense described by Paragraph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victim of any criminal offense, if the victim was younger than 18 years of age when any element of the offense was committed.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information under this section may be disclosed: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any victim identified by the information, or to the parent or guardian of a victim described by Subsection (a)(2) who is identified by the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a law enforcement agency for investigative purposes;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accordance with a court order requiring the disclosure.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to a request for information that is received by a governmental body or an officer for public information on or after the effective date of this Act. </w:t>
      </w:r>
      <w:r>
        <w:t xml:space="preserve"> </w:t>
      </w:r>
      <w:r>
        <w:t xml:space="preserve">A request for information that was received before the effective date of this Act is governed by the law in effect on the date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2357 was passed by the House on May 11, 2021, by the following vote:</w:t>
      </w:r>
      <w:r xml:space="preserve">
        <w:t> </w:t>
      </w:r>
      <w:r xml:space="preserve">
        <w:t> </w:t>
      </w:r>
      <w:r>
        <w:t xml:space="preserve">Yeas 135, Nays 8, 2 present, not voting; and that the House concurred in Senate amendments to H.B. No. 2357 on May 28, 2021, by the following vote:</w:t>
      </w:r>
      <w:r xml:space="preserve">
        <w:t> </w:t>
      </w:r>
      <w:r xml:space="preserve">
        <w:t> </w:t>
      </w:r>
      <w:r>
        <w:t xml:space="preserve">Yeas 147,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2357 was passed by the Senate, with amendments, on May 26,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