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Reynolds</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2361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Natural Resources &amp; Economic Development;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new technology implementation grant program administered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flaring emissions and other site emissions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lease, or</w:t>
      </w:r>
      <w:r>
        <w:t xml:space="preserve"> [</w:t>
      </w:r>
      <w:r>
        <w:rPr>
          <w:strike/>
        </w:rPr>
        <w:t xml:space="preserve">and</w:t>
      </w:r>
      <w:r>
        <w:t xml:space="preserve">] installation of the project for which the grant is made, which may include reasonable and necessary expenses for the labor needed to install emissions-reducing equipment. </w:t>
      </w:r>
      <w:r>
        <w:t xml:space="preserve"> </w:t>
      </w:r>
      <w:r>
        <w:t xml:space="preserve">The recipient may [</w:t>
      </w:r>
      <w:r>
        <w:rPr>
          <w:strike/>
        </w:rPr>
        <w:t xml:space="preserve">not</w:t>
      </w:r>
      <w:r>
        <w:t xml:space="preserve">] use the grant for the costs of operating and maintaining the emissions-reducing equipment.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Texas emissions reduction plan grant awarded on or after the effective date of this Act. </w:t>
      </w:r>
      <w:r>
        <w:t xml:space="preserve"> </w:t>
      </w:r>
      <w:r>
        <w:t xml:space="preserve">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