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87R10019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Goldman, et al.</w:t>
      </w:r>
      <w:r xml:space="preserve">
        <w:tab wTab="150" tlc="none" cTlc="0"/>
      </w:r>
      <w:r>
        <w:t xml:space="preserve">H.B.</w:t>
      </w:r>
      <w:r xml:space="preserve">
        <w:t> </w:t>
      </w:r>
      <w:r>
        <w:t xml:space="preserve">No.</w:t>
      </w:r>
      <w:r xml:space="preserve">
        <w:t> </w:t>
      </w:r>
      <w:r>
        <w:t xml:space="preserve">2362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defund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Sections 140.013 and 140.014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140.014.</w:t>
      </w:r>
      <w:r>
        <w:rPr>
          <w:u w:val="single"/>
        </w:rPr>
        <w:t xml:space="preserve"> </w:t>
      </w:r>
      <w:r>
        <w:rPr>
          <w:u w:val="single"/>
        </w:rPr>
        <w:t xml:space="preserve"> </w:t>
      </w:r>
      <w:r>
        <w:rPr>
          <w:u w:val="single"/>
        </w:rPr>
        <w:t xml:space="preserve">LIMIT ON ANNUAL EXPENDITURES BY DEFUNDING LOCAL GOVERNMENT.  (a)  This section applies to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local government's total expenditures from all available sources of revenue in a fiscal year may not exceed the defunding local government's total expenditures from all available sources of revenue in the defunding local government's fiscal year immediately preceding the fiscal year during which the criminal justice division of the governor's office issued the written determination declaring the local government to be a defunding local government under Section 140.013.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is no longer considered to be a defunding local government for purposes of this section when the criminal justice division of the governor's office issues a written determination in accordance with Section 140.013(b) finding that the local government has reversed the reductions described by Section 140.013(a)(1).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received from the issuance of bonds approved by voters or from a grant, donation, or gift is not considered an available source of revenue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140.013, Local Government Code, as added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