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and reimbursement of certain military medical treatment facilities and affiliated health care providers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32.0275.</w:t>
      </w:r>
      <w:r>
        <w:rPr>
          <w:u w:val="single"/>
        </w:rPr>
        <w:t xml:space="preserve"> </w:t>
      </w:r>
      <w:r>
        <w:rPr>
          <w:u w:val="single"/>
        </w:rPr>
        <w:t xml:space="preserve"> </w:t>
      </w:r>
      <w:r>
        <w:rPr>
          <w:u w:val="single"/>
        </w:rPr>
        <w:t xml:space="preserve">MILITARY MEDICAL TREATMENT FACILITIES AND AFFILIATED HEALTH CARE PROVIDERS; REIMBURSEMENT.  (a) In this section, "military medical treatment facility" means a military medical treatment facility described by 10 U.S.C. Section 1073d(b), (c), or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military medical treatment facility located in this state that has been verified as a Level 1 trauma center by the American College of Surgeons or an equivalent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military medical treatment facility or a health care provider providing services at a military medical treatment facility is considered a provider under Medicaid for purposes of providing and receiving reimbursement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inpatient emergency services;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related outpatient services to the extent those services are not available from an enrolled Medicaid provider at the time the services are needed.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2365 was passed by the House on May 5, 2021, by the following vote:</w:t>
      </w:r>
      <w:r xml:space="preserve">
        <w:t> </w:t>
      </w:r>
      <w:r xml:space="preserve">
        <w:t> </w:t>
      </w:r>
      <w:r>
        <w:t xml:space="preserve">Yeas 91, Nays 55, 1 present, not voting; and that the House concurred in Senate amendments to H.B. No. 2365 on May 28, 2021, by the following vote:</w:t>
      </w:r>
      <w:r xml:space="preserve">
        <w:t> </w:t>
      </w:r>
      <w:r xml:space="preserve">
        <w:t> </w:t>
      </w:r>
      <w:r>
        <w:t xml:space="preserve">Yeas 91, Nays 54,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2365 was passed by the Senate, with amendments, on May 24, 2021,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