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87R5534 SLB-D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Morales Shaw</w:t>
      </w:r>
      <w:r xml:space="preserve">
        <w:tab wTab="150" tlc="none" cTlc="0"/>
      </w:r>
      <w:r>
        <w:t xml:space="preserve">H.B.</w:t>
      </w:r>
      <w:r xml:space="preserve">
        <w:t> </w:t>
      </w:r>
      <w:r>
        <w:t xml:space="preserve">No.</w:t>
      </w:r>
      <w:r xml:space="preserve">
        <w:t> </w:t>
      </w:r>
      <w:r>
        <w:t xml:space="preserve">2369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shutdown during a weather-related disaster of facilities that have reported emissions events to the Texas Commission on Environmental Quality.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382, Health and Safety Code, is amended by adding Section 382.0261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382.0261.</w:t>
      </w:r>
      <w:r>
        <w:rPr>
          <w:u w:val="single"/>
        </w:rPr>
        <w:t xml:space="preserve"> </w:t>
      </w:r>
      <w:r>
        <w:rPr>
          <w:u w:val="single"/>
        </w:rPr>
        <w:t xml:space="preserve"> </w:t>
      </w:r>
      <w:r>
        <w:rPr>
          <w:u w:val="single"/>
        </w:rPr>
        <w:t xml:space="preserve">ORDERS ISSUED DURING DISASTER DECLARATION.  The commission shall adopt rules to implement, in the event of a state or federally declared weather-related disaster, a system of staggered shutdowns for regulated entities located in the area covered by the disaster declaration that are required to report emissions events under Section 382.0215.  Rules adopted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consider the 10-year history of reported emissions events, or the entire history of reported emissions events if a regulated entity has been in operation for less than 10 years, and provide that the regulated entities with the highest number of reported emissions events over the course of the considered history be ordered to shut down before regulated entities with lower numbers of reported emissions events;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that the procedures for the staggered shutdown: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minimize the cumulative air pollution effects of the shutdown;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cause the shutdown to be completed in the safest manner possible;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 exceptions for specific types of facilities whose shutdown would increase a risk to the health or safety of the population in the area covered by the disaster declaration.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