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87R9287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2375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meals provided to jurors during deliberation of a civil case in certain district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62.202(b),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judge may draw a warrant on the jury fund or other appropriate fund of the county in which the civil case is tried to cover the cost of buying and transporting the meals to the jury room.  </w:t>
      </w:r>
      <w:r>
        <w:rPr>
          <w:u w:val="single"/>
        </w:rPr>
        <w:t xml:space="preserve">The judge may spend a reasonable amount</w:t>
      </w:r>
      <w:r>
        <w:t xml:space="preserve"> [</w:t>
      </w:r>
      <w:r>
        <w:rPr>
          <w:strike/>
        </w:rPr>
        <w:t xml:space="preserve">Not more than $3</w:t>
      </w:r>
      <w:r>
        <w:t xml:space="preserve">] per meal [</w:t>
      </w:r>
      <w:r>
        <w:rPr>
          <w:strike/>
        </w:rPr>
        <w:t xml:space="preserve">may be spent</w:t>
      </w:r>
      <w:r>
        <w:t xml:space="preserve">] for a juror serving on a jury in a civil case.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