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87R12887 DRS-F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Smith, 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2380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2380: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2380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participation by videoconference at informal proceedings of the Texas Medical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164.003, Occupations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may reply to the staff's presentation and present facts under Subsection (c) by videoconference under Section 164.0033.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164, Occupations Code, is amended by adding Section 164.0033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164.0033.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APPEARANCE BY VIDEOCONFERENCE IN INFORMAL PROCEEDINGS.  (a)  Notwithstanding any other law, and subject to Section 164.003(b), the board may hold informal proceedings under this chapter by videoconference or, if a respondent is unable to participate by videoconference, by telephone conference call.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authorize the board's legal counsel, a member of the board's staff, or any other person authorized or required to participate in informal proceedings under this chapter to participate by videoconference.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adopt procedures for holding informal proceedings by videoconference that ensure that each participant is clearly visible and audible while that participant is speaking.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164.004, Occupations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holder's appearance at an informal meeting by videoconference as provided by Section 164.0033 constitutes personal appearance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informal proceedings under Chapter 164, Occupations Code, that occur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2380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