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w:t xml:space="preserve"> (Senate Sponsor</w:t>
      </w:r>
      <w:r xml:space="preserve">
        <w:t> </w:t>
      </w:r>
      <w:r>
        <w:t xml:space="preserve">-</w:t>
      </w:r>
      <w:r xml:space="preserve">
        <w:t> </w:t>
      </w:r>
      <w:r>
        <w:t xml:space="preserve">Blanco)</w:t>
      </w:r>
      <w:r xml:space="preserve">
        <w:tab wTab="150" tlc="none" cTlc="0"/>
      </w:r>
      <w:r>
        <w:t xml:space="preserve">H.B.</w:t>
      </w:r>
      <w:r xml:space="preserve">
        <w:t> </w:t>
      </w:r>
      <w:r>
        <w:t xml:space="preserve">No.</w:t>
      </w:r>
      <w:r xml:space="preserve">
        <w:t> </w:t>
      </w:r>
      <w:r>
        <w:t xml:space="preserve">2382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6,</w:t>
      </w:r>
      <w:r xml:space="preserve">
        <w:t> </w:t>
      </w:r>
      <w:r>
        <w:t xml:space="preserve">2021, read first time and referred to Committee on Local Government;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6,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2382</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operations and administration of the El Paso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281, Health and Safety Code, is amended by adding Section 281.060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281.060.</w:t>
      </w:r>
      <w:r>
        <w:rPr>
          <w:u w:val="single"/>
        </w:rPr>
        <w:t xml:space="preserve"> </w:t>
      </w:r>
      <w:r>
        <w:rPr>
          <w:u w:val="single"/>
        </w:rPr>
        <w:t xml:space="preserve"> </w:t>
      </w:r>
      <w:r>
        <w:rPr>
          <w:u w:val="single"/>
        </w:rPr>
        <w:t xml:space="preserve">EL PASO COUNTY HOSPITAL DISTRICT; BROKER AGREEMENTS AND FEES FOR SALE OF REAL PROPERTY.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"Broker" means a person licensed as a broker under Chapter 1101,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El Paso County Hospital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El Paso County Hospital District may contract with a broker to sell a tract of real property that is owned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contract with a broker who is related within the third degree of consanguinity, as determined under Chapter 573, Government Code,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board of hospital managers of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official who serves on the El Paso County Commissioners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pay a fee if a broker produces a ready, willing, and able buyer to purchase a tract of real property.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contract made under Subsection (b) requires a broker to list the tract of real property for sale for at least 30 days with a multiple-listing service used by other brokers in the county in which the real property is located, the district, on or after the 30th day after the date the property is listed, may sell the tract of real property to a ready, willing, and able buyer who is produced by any broker, including a broker described by Subsection (c), using the multiple-listing service and who submits the most advantageous offer.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must post a notice of intent to sell the real property in a newspaper of general circulation, not less than once, at least 14 days before the date the district accepts an offer produced by a broker.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may sell a tract of real property under this section without complying with the requirements of Section 272.001,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281.0221,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