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development corporation created by the Gulf Coast Authority to finance certain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3.01, Chapter 409, Acts of the 61st Legislature, Regular Session, 1969,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development corporation created by the authority under Chapter 501, Local Government Code, may finance: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projects described by Subchapter C, Chapter 501, Local Government Code, located inside or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qualified improvements as defined by Section 399.002, Local Government Code, located inside or outside this state in the same manner and to the same extent as a municipality or county may do so under Chapter 399 of that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