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87R20772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2393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2393: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2393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 Bar of Texas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81.019, Government Code, is amended by amending Subsections (b) and (c)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(c) </w:t>
      </w:r>
      <w:r>
        <w:rPr>
          <w:u w:val="single"/>
        </w:rPr>
        <w:t xml:space="preserve">and (d)</w:t>
      </w:r>
      <w:r>
        <w:t xml:space="preserve">, the officers shall be elected in accordance with rules for the election of officers and directors prepared and proposed by the supreme court as provided by Section 81.024.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election rules must permit any member's name to be printed on the ballot as a candidate for president-elect if a written petition requesting that action and signed by at least </w:t>
      </w:r>
      <w:r>
        <w:rPr>
          <w:u w:val="single"/>
        </w:rPr>
        <w:t xml:space="preserve">one</w:t>
      </w:r>
      <w:r>
        <w:t xml:space="preserve"> [</w:t>
      </w:r>
      <w:r>
        <w:rPr>
          <w:strike/>
        </w:rPr>
        <w:t xml:space="preserve">five</w:t>
      </w:r>
      <w:r>
        <w:t xml:space="preserve">] percent of the membership of the state bar is filed with the executive director at least 30 days before the election ballots are to be distributed to the membership.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election rules must permit electronic signatures on a written petition submitted as provided by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Supreme Court shall adopt any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2393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