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87R8917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w:t>
      </w:r>
      <w:r xml:space="preserve">
        <w:tab wTab="150" tlc="none" cTlc="0"/>
      </w:r>
      <w:r>
        <w:t xml:space="preserve">H.B.</w:t>
      </w:r>
      <w:r xml:space="preserve">
        <w:t> </w:t>
      </w:r>
      <w:r>
        <w:t xml:space="preserve">No.</w:t>
      </w:r>
      <w:r xml:space="preserve">
        <w:t> </w:t>
      </w:r>
      <w:r>
        <w:t xml:space="preserve">2393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Bar of Texas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81.019, Government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(c) </w:t>
      </w:r>
      <w:r>
        <w:rPr>
          <w:u w:val="single"/>
        </w:rPr>
        <w:t xml:space="preserve">and (d)</w:t>
      </w:r>
      <w:r>
        <w:t xml:space="preserve">, the officers shall be elected in accordance with rules for the election of officers and directors prepared and proposed by the supreme court as provided by Section 81.024.</w:t>
      </w:r>
    </w:p>
    <w:p w:rsidR="003F3435" w:rsidRDefault="0032493E">
      <w:pPr>
        <w:spacing w:line="480" w:lineRule="auto"/>
        <w:ind w:firstLine="720"/>
        <w:jc w:val="both"/>
      </w:pPr>
      <w:r>
        <w:t xml:space="preserve">(c)</w:t>
      </w:r>
      <w:r xml:space="preserve">
        <w:t> </w:t>
      </w:r>
      <w:r xml:space="preserve">
        <w:t> </w:t>
      </w:r>
      <w:r>
        <w:t xml:space="preserve">The election rules must permit any member's name to be printed on the ballot as a candidate for president-elect if a written petition requesting that action and signed by at least </w:t>
      </w:r>
      <w:r>
        <w:rPr>
          <w:u w:val="single"/>
        </w:rPr>
        <w:t xml:space="preserve">500 active members</w:t>
      </w:r>
      <w:r>
        <w:t xml:space="preserve"> [</w:t>
      </w:r>
      <w:r>
        <w:rPr>
          <w:strike/>
        </w:rPr>
        <w:t xml:space="preserve">five percent of the membership</w:t>
      </w:r>
      <w:r>
        <w:t xml:space="preserve">] of the state bar is filed with the executive director at least 30 days before the election ballots are to be distributed to the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election rules must permit electronic signatures on a written petition submitted as provided by Subsection (c).</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81, Government Code, is amended by adding Section 81.0243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81.0243.</w:t>
      </w:r>
      <w:r>
        <w:rPr>
          <w:u w:val="single"/>
        </w:rPr>
        <w:t xml:space="preserve"> </w:t>
      </w:r>
      <w:r>
        <w:rPr>
          <w:u w:val="single"/>
        </w:rPr>
        <w:t xml:space="preserve"> </w:t>
      </w:r>
      <w:r>
        <w:rPr>
          <w:u w:val="single"/>
        </w:rPr>
        <w:t xml:space="preserve">VOTING DISCRIMINATION PROHIBITED; INJUNCTIVE RELIEF.  (a) Voting discrimination based on religion, age, sex, race, color, creed, or national origin is prohibited in any form by members of the state bar in elections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bring an action for injunctive relief against  a member of the state bar who appears to be violating or is threatening to violate Subsection (a).  Venue for the action is a district court in Travis County. The person may recover reasonable expenses incurred in obtaining injunctive relief, including court costs and attorney's fees.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Supreme Court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