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87R11449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2403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selecting the members of the board of directors of an appraisal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6.03, Tax Code, is amended by amending Subsection (k) and adding Subsection (k-1) to read as follows:</w:t>
      </w:r>
    </w:p>
    <w:p w:rsidR="003F3435" w:rsidRDefault="0032493E">
      <w:pPr>
        <w:spacing w:line="480" w:lineRule="auto"/>
        <w:ind w:firstLine="720"/>
        <w:jc w:val="both"/>
      </w:pPr>
      <w:r>
        <w:t xml:space="preserve">(k)</w:t>
      </w:r>
      <w:r xml:space="preserve">
        <w:t> </w:t>
      </w:r>
      <w:r xml:space="preserve">
        <w:t> </w:t>
      </w:r>
      <w:r>
        <w:rPr>
          <w:u w:val="single"/>
        </w:rPr>
        <w:t xml:space="preserve">Except as provided by Subsection (k-1), the</w:t>
      </w:r>
      <w:r>
        <w:t xml:space="preserve"> [</w:t>
      </w:r>
      <w:r>
        <w:rPr>
          <w:strike/>
        </w:rPr>
        <w:t xml:space="preserve">The</w:t>
      </w:r>
      <w:r>
        <w:t xml:space="preserve">] governing body of each taxing unit entitled to vote shall determine its vote by resolution and submit it to the chief appraiser before December 15. The chief appraiser shall count the votes, declare the five candidates who receive the largest cumulative vote totals elected, and submit the results before December 31 to the governing body of each taxing unit in the district and to the candidates. For purposes of determining the number of votes received by the candidates, the candidate receiving the most votes of the conservation and reclamation districts is considered to have received all of the votes cast by conservation and reclamation districts and the other candidates are considered not to have received any votes of the conservation and reclamation districts. The chief appraiser shall resolve a tie vote by any method of chance.</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This subsection applies only to an appraisal district established in a county with a population of 120,000 or more. The governing body of each taxing unit entitled to cast at least five percent of the total votes must determine its vote by resolution adopted at the first or second open meeting of the governing body that is held after the date the chief appraiser delivers the ballot to the presiding officer of the governing body. The governing body must submit its vote to the chief appraiser not later than the third day following the date the resolution is adopted.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selection of members of the board of directors of an appraisal district who are appointed for a term that begins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