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maintenance of a database of information regarding certain local economic development agreements;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Sections 403.0246 and 403.0247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403.0246.</w:t>
      </w:r>
      <w:r>
        <w:rPr>
          <w:u w:val="single"/>
        </w:rPr>
        <w:t xml:space="preserve"> </w:t>
      </w:r>
      <w:r>
        <w:rPr>
          <w:u w:val="single"/>
        </w:rPr>
        <w:t xml:space="preserve"> </w:t>
      </w:r>
      <w:r>
        <w:rPr>
          <w:u w:val="single"/>
        </w:rPr>
        <w:t xml:space="preserve">LOCAL DEVELOPMENT AGREEMENT DATABASE.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day"</w:t>
      </w:r>
      <w:r>
        <w:rPr>
          <w:u w:val="single"/>
        </w:rPr>
        <w:t xml:space="preserve"> </w:t>
      </w:r>
      <w:r>
        <w:rPr>
          <w:u w:val="single"/>
        </w:rPr>
        <w:t xml:space="preserve">means a day other than a Saturday, Sunday, or state or national holiday.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development agreement"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agreement entered into by a municipality under Section 380.001 or 380.002, Local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agreement entered into by a county under Section 381.004,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agreement to grant or otherwise commit public money or other resources for economic development purposes by a local government under Chapter 380 or 381,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county industrial commission under Section 381.001, Local Government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of development under Section 381.002,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create and make accessible on the Internet a database, to be known as the Chapter 380 and 381 Agreement Database, that contains information regarding all local development agreements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local development agreement described by Subsection (b),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local government that entered into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numerical code assigned to the local government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local government's administrative offices and public contact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appropriate officer or other person representing the local government and that person's contact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any entity that entered into the agreement with the local government;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agreement went into effect and the date on which the agreement expires;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focus or scope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electronic copy of the agreement;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contact information of the individual reporting the information to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consult with the appropriate officer of, or other person representing, each local government that enters into a local development agreement to obtain the information necessary to operate and update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enter into the database for access by the public the information described by Subsection (c) not later than the 15th business day after the date the comptroller receives the information from the providing local government. </w:t>
      </w:r>
      <w:r>
        <w:rPr>
          <w:u w:val="single"/>
        </w:rPr>
        <w:t xml:space="preserve"> </w:t>
      </w:r>
      <w:r>
        <w:rPr>
          <w:u w:val="single"/>
        </w:rPr>
        <w:t xml:space="preserve">The information, including a copy of the agreement, must remain accessible to the public through the database during the period the agreement is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not charge a fee to the public to access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establish procedures and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403.0247.</w:t>
      </w:r>
      <w:r>
        <w:rPr>
          <w:u w:val="single"/>
        </w:rPr>
        <w:t xml:space="preserve"> </w:t>
      </w:r>
      <w:r>
        <w:rPr>
          <w:u w:val="single"/>
        </w:rPr>
        <w:t xml:space="preserve"> </w:t>
      </w:r>
      <w:r>
        <w:rPr>
          <w:u w:val="single"/>
        </w:rPr>
        <w:t xml:space="preserve">NONCOMPLIANCE; CIVIL PENALTY.  (a) In this section, "local development agreement"</w:t>
      </w:r>
      <w:r>
        <w:rPr>
          <w:u w:val="single"/>
        </w:rPr>
        <w:t xml:space="preserve"> </w:t>
      </w:r>
      <w:r>
        <w:rPr>
          <w:u w:val="single"/>
        </w:rPr>
        <w:t xml:space="preserve">has the meaning assigned by Section 403.0246.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local government that enters into a local development agreement has not complied with a requirement to provide information under Section 403.0246 of this code or Section 380.004 or 381.005, Local Government Code, the comptroller shall send a notice to the local government. The notice must be in writing, describe the information that must be submitted to the comptroller, and inform the local government that if the information is not provided on or before the 30th day after the date the notice is provided, the local government will be subject to a civil penalty of $1,000.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government does not report the required information as prescribed by Subsection (b), the local government is liable to the state for a civil penalty of $1,000.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a civil penalty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an action brought under this section that the local government provided the required information or documents to the extent the information or documents are not exempt from disclosure or confidential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seventh day after the date of entering into, amending, or renewing an agreement authorized by this chapter, a municipality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municipality submits an agreement to the comptroller under this section and maintains an Internet website, the municipality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381, Local Government Code, is amended by adding Section 381.005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381.005.</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seventh day after the date of entering into, amending, or renewing an agreement authorized by this chapter, a county, county industrial commission, or development board, as applicable,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commission, or board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a commission or board created by the county submits an agreement to the comptroller under this section and the county maintains an Internet website, the county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For each agreement described by Section 403.0246, Government Code, as added by this Act, that is in effect on the effective date of this Act, the local government that entered into the agreement shall, not later than January 1, 2022, submit to the comptroller the information described by that section and any other information the comptroller considers necessary to operate and update the database required by that section.</w:t>
      </w:r>
    </w:p>
    <w:p w:rsidR="003F3435" w:rsidRDefault="0032493E">
      <w:pPr>
        <w:spacing w:line="480" w:lineRule="auto"/>
        <w:ind w:firstLine="720"/>
        <w:jc w:val="both"/>
      </w:pPr>
      <w:r>
        <w:t xml:space="preserve">(b)</w:t>
      </w:r>
      <w:r xml:space="preserve">
        <w:t> </w:t>
      </w:r>
      <w:r xml:space="preserve">
        <w:t> </w:t>
      </w:r>
      <w:r>
        <w:t xml:space="preserve">The comptroller shall publish on the comptroller's Internet website the information received under this section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shall create and post on the comptroller's Internet website the database required by Section 403.0246,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