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Burrows</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2404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April</w:t>
      </w:r>
      <w:r xml:space="preserve">
        <w:t> </w:t>
      </w:r>
      <w:r>
        <w:t xml:space="preserve">12,</w:t>
      </w:r>
      <w:r xml:space="preserve">
        <w:t> </w:t>
      </w:r>
      <w:r>
        <w:t xml:space="preserve">2021, read first time and referred to Committee on Natural Resources &amp; Economic Development; May</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8, Nays 0; May</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2404</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maintenance of a database of information regarding certain local economic development agreements;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Sections 403.0246 and 403.0247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403.0246.</w:t>
      </w:r>
      <w:r>
        <w:rPr>
          <w:u w:val="single"/>
        </w:rPr>
        <w:t xml:space="preserve"> </w:t>
      </w:r>
      <w:r>
        <w:rPr>
          <w:u w:val="single"/>
        </w:rPr>
        <w:t xml:space="preserve"> </w:t>
      </w:r>
      <w:r>
        <w:rPr>
          <w:u w:val="single"/>
        </w:rPr>
        <w:t xml:space="preserve">LOCAL DEVELOPMENT AGREEMENT DATABASE.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"Business day"</w:t>
      </w:r>
      <w:r>
        <w:rPr>
          <w:u w:val="single"/>
        </w:rPr>
        <w:t xml:space="preserve"> </w:t>
      </w:r>
      <w:r>
        <w:rPr>
          <w:u w:val="single"/>
        </w:rPr>
        <w:t xml:space="preserve">means a day other than a Saturday, Sunday, or state or national holiday.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development agreement"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agreement entered into by a municipality under Section 380.001 or 380.002, Local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agreement entered into by a county under Section 381.004, Local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agreement to grant or otherwise commit public money or other resources for economic development purposes by a local government under Chapter 380 or 381, Local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government"</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county industrial commission under Section 381.001, Local Government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board of development under Section 381.002,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create and make accessible on the Internet a database, to be known as the Chapter 380 and 381 Agreement Database, that contains information regarding all local development agreements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local development agreement described by Subsection (b), the database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local government that entered into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numerical code assigned to the local government by 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of the local government's administrative offices and public contact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appropriate officer or other person representing the local government and that person's contact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any entity that entered into the agreement with the local government;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on which the agreement went into effect and the date on which the agreement expires;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focus or scope of the agreement;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electronic copy of the agreement;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 and contact information of the individual reporting the information to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consult with the appropriate officer of, or other person representing, each local government that enters into a local development agreement to obtain the information necessary to operate and update the database.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enter into the database for access by the public the information described by Subsection (c) not later than the 15th business day after the date the comptroller receives the information from the providing local government. </w:t>
      </w:r>
      <w:r>
        <w:rPr>
          <w:u w:val="single"/>
        </w:rPr>
        <w:t xml:space="preserve"> </w:t>
      </w:r>
      <w:r>
        <w:rPr>
          <w:u w:val="single"/>
        </w:rPr>
        <w:t xml:space="preserve">The information, including a copy of the agreement, must remain accessible to the public through the database during the period the agreement is in effect.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not charge a fee to the public to access the database.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may establish procedures and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403.0247.</w:t>
      </w:r>
      <w:r>
        <w:rPr>
          <w:u w:val="single"/>
        </w:rPr>
        <w:t xml:space="preserve"> </w:t>
      </w:r>
      <w:r>
        <w:rPr>
          <w:u w:val="single"/>
        </w:rPr>
        <w:t xml:space="preserve"> </w:t>
      </w:r>
      <w:r>
        <w:rPr>
          <w:u w:val="single"/>
        </w:rPr>
        <w:t xml:space="preserve">NONCOMPLIANCE; CIVIL PENALTY.  (a) In this section, "local development agreement"</w:t>
      </w:r>
      <w:r>
        <w:rPr>
          <w:u w:val="single"/>
        </w:rPr>
        <w:t xml:space="preserve"> </w:t>
      </w:r>
      <w:r>
        <w:rPr>
          <w:u w:val="single"/>
        </w:rPr>
        <w:t xml:space="preserve">has the meaning assigned by Section 403.0246.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local government that enters into a local development agreement has not complied with a requirement to provide information under Section 403.0246 of this code or Section 380.004 or 381.005, Local Government Code, the comptroller shall send a notice to the local government. The notice must be in writing, describe the information that must be submitted to the comptroller, and inform the local government that if the information is not provided on or before the 30th day after the date the notice is provided, the local government will be subject to a civil penalty of $1,000.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government does not report the required information as prescribed by Subsection (b), the local government is liable to the state for a civil penalty of $1,000.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sue to collect a civil penalty imposed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an action brought under this section that the local government provided the required information or documents to the extent the information or documents are not exempt from disclosure or confidential under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380, Local Government Code, is amended by adding Section 380.004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380.004.</w:t>
      </w:r>
      <w:r>
        <w:rPr>
          <w:u w:val="single"/>
        </w:rPr>
        <w:t xml:space="preserve"> </w:t>
      </w:r>
      <w:r>
        <w:rPr>
          <w:u w:val="single"/>
        </w:rPr>
        <w:t xml:space="preserve"> </w:t>
      </w:r>
      <w:r>
        <w:rPr>
          <w:u w:val="single"/>
        </w:rPr>
        <w:t xml:space="preserve">PROVISION OF CERTAIN INFORMATION TO COMPTROLLER.  (a) </w:t>
      </w:r>
      <w:r>
        <w:rPr>
          <w:u w:val="single"/>
        </w:rPr>
        <w:t xml:space="preserve"> </w:t>
      </w:r>
      <w:r>
        <w:rPr>
          <w:u w:val="single"/>
        </w:rPr>
        <w:t xml:space="preserve">Not later than the 14th day after the date of entering into, amending, or renewing an agreement authorized by this chapter, a municipality shall submit to the comptroller the information described by Section 403.0246(c), Government Code, and any other information the comptroller considers necessary to operate and update the database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shall transmit the information required by Subsection (a) in a form and manner prescribed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municipality submits an agreement to the comptroller under this section and maintains an Internet website, the municipality shall provide on the website a direct link to the location of the agreement information published on the comptroller's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381, Local Government Code, is amended by adding Section 381.005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381.005.</w:t>
      </w:r>
      <w:r>
        <w:rPr>
          <w:u w:val="single"/>
        </w:rPr>
        <w:t xml:space="preserve"> </w:t>
      </w:r>
      <w:r>
        <w:rPr>
          <w:u w:val="single"/>
        </w:rPr>
        <w:t xml:space="preserve"> </w:t>
      </w:r>
      <w:r>
        <w:rPr>
          <w:u w:val="single"/>
        </w:rPr>
        <w:t xml:space="preserve">PROVISION OF CERTAIN INFORMATION TO COMPTROLLER.  (a) </w:t>
      </w:r>
      <w:r>
        <w:rPr>
          <w:u w:val="single"/>
        </w:rPr>
        <w:t xml:space="preserve"> </w:t>
      </w:r>
      <w:r>
        <w:rPr>
          <w:u w:val="single"/>
        </w:rPr>
        <w:t xml:space="preserve">Not later than the 14th day after the date of entering into, amending, or renewing an agreement authorized by this chapter, a county, county industrial commission, or development board, as applicable, shall submit to the comptroller the information described by Section 403.0246(c), Government Code, and any other information the comptroller considers necessary to operate and update the database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commission, or board shall transmit the information required by Subsection (a) in a form and manner prescribed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county or a commission or board created by the county submits an agreement to the comptroller under this section and the county maintains an Internet website, the county shall provide on the website a direct link to the location of the agreement information published on the comptroller's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For each agreement described by Section 403.0246, Government Code, as added by this Act, that is in effect on the effective date of this Act, the local government that entered into the agreement shall, not later than January 1, 2022, submit to the comptroller the information described by that section and any other information the comptroller considers necessary to operate and update the database required by that section.</w:t>
      </w:r>
    </w:p>
    <w:p w:rsidR="003F3435" w:rsidRDefault="0032493E">
      <w:pPr>
        <w:spacing w:line="480" w:lineRule="auto"/>
        <w:ind w:firstLine="720"/>
        <w:jc w:val="both"/>
      </w:pPr>
      <w:r>
        <w:t xml:space="preserve">(b)</w:t>
      </w:r>
      <w:r xml:space="preserve">
        <w:t> </w:t>
      </w:r>
      <w:r xml:space="preserve">
        <w:t> </w:t>
      </w:r>
      <w:r>
        <w:t xml:space="preserve">The comptroller shall publish on the comptroller's Internet website the information received under this section not later than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comptroller shall create and post on the comptroller's Internet website the database required by Section 403.0246, Government Code, as added by this Act, not later than September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comptroller is required to implement the changes in law made by this Act only if the legislature appropriates money specifically for that purpose. If the legislature does not appropriate money specifically for that purpose, the comptroller may, but is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