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Dean, Guillen, Howard, 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waiver of requirements for removing a person's license from inactive status during a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301.261, Occupations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(d) and as necessary to mitigate a nursing workforce shortage caused by a state of disaster, the board shall waive a requirement that a person pay a reactivation </w:t>
      </w:r>
      <w:r>
        <w:rPr>
          <w:u w:val="single"/>
        </w:rPr>
        <w:t xml:space="preserve">fee or complete any required continuing education to remove the person's license from inactive status if the license has been on inactive status for less than four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