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87R6610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disclosure of information collected by a regional transportation authority under the public information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452.061(e),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Personal identifying information collected by an authority is confidential and not subject to disclosure under Chapter 552, Government Code, including a person's: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name, address, e-mail address, and phone number;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account number, password, payment transaction activity, toll or charge record, or credit, debit, or other payment card number;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trip data, including the time, date, origin, and destination of a trip, and demographic information collected when the person purchases a ticket or schedules a trip;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other personal [</w:t>
      </w:r>
      <w:r>
        <w:rPr>
          <w:strike/>
        </w:rPr>
        <w:t xml:space="preserve">financial</w:t>
      </w:r>
      <w:r>
        <w:t xml:space="preserve">] information</w:t>
      </w:r>
      <w:r>
        <w:rPr>
          <w:u w:val="single"/>
        </w:rPr>
        <w:t xml:space="preserve">, including financial information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