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87R10032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periodic emissions and safety inspections of certain motor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382.203(a),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inspection and maintenance program applies to any gasoline-powered vehicle that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required to be registered in and is primarily operated in an affected county;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least two [</w:t>
      </w:r>
      <w:r>
        <w:rPr>
          <w:strike/>
        </w:rPr>
        <w:t xml:space="preserve">and less than 25</w:t>
      </w:r>
      <w:r>
        <w:t xml:space="preserve">] years old </w:t>
      </w:r>
      <w:r>
        <w:rPr>
          <w:u w:val="single"/>
        </w:rPr>
        <w:t xml:space="preserve">and a model year 1997 or later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subject to test-on-resale requirements under Section 548.3011,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