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2428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8,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calculation of net to land in the appraisal of open-space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23.51(4), Tax Code, is amended to read as follows:</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w:t>
      </w:r>
      <w:r>
        <w:rPr>
          <w:u w:val="single"/>
        </w:rPr>
        <w:t xml:space="preserve">In this subdivision,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 Title 6, Agriculture Code. In calculating net to land of open-space land located in or adjacent to a wildlife or livestock disease or pest area, the  chief appraiser shall take into consideration the effect that the presence of the applicable disease or pest or the designation of the area has on the net income from the land.</w:t>
      </w:r>
      <w:r>
        <w:t xml:space="preserve">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appraisal of open-space land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