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87R3144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Shine</w:t>
      </w:r>
      <w:r xml:space="preserve">
        <w:tab wTab="150" tlc="none" cTlc="0"/>
      </w:r>
      <w:r>
        <w:t xml:space="preserve">H.B.</w:t>
      </w:r>
      <w:r xml:space="preserve">
        <w:t> </w:t>
      </w:r>
      <w:r>
        <w:t xml:space="preserve">No.</w:t>
      </w:r>
      <w:r xml:space="preserve">
        <w:t> </w:t>
      </w:r>
      <w:r>
        <w:t xml:space="preserve">2429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alternate provisions for ad valorem tax rate notices when the de minimis rate of a taxing unit exceeds the voter-approval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26.063,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taxing unit that is not required to hold an election under Section 26.07 and for which the qualified voters of the taxing unit may not petition to hold an election under Section 26.075.  In the notice required to be provided by the taxing unit under Section 26.06(b-1) or (b-3), as applicable, the taxing unit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the following to the end of the list of rates included in the notice:</w:t>
      </w:r>
    </w:p>
    <w:p w:rsidR="003F3435" w:rsidRDefault="0032493E">
      <w:pPr>
        <w:spacing w:line="480" w:lineRule="auto"/>
        <w:ind w:firstLine="720"/>
        <w:jc w:val="both"/>
      </w:pPr>
      <w:r>
        <w:rPr>
          <w:u w:val="single"/>
        </w:rPr>
        <w:t xml:space="preserve">"DE MINIMIS RATE</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rPr>
          <w:u w:val="single"/>
        </w:rPr>
        <w:t xml:space="preserve">$_______________ per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substitute the following for the definition of "voter-approval tax rate": "The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the following definition of "de minimis rate": "The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substitute the following for the provision that provides notice that an election is required: "The proposed tax rate is greater than the voter-approval tax rate but not greater than the de minimis rate and does not exceed the rate that allows voters to petition for an election under Section 26.075, Tax Code.  If (name of taxing unit) adopts the proposed tax rate, (name of taxing unit) is not required to hold an election so that the voters may accept or reject the proposed tax rate and the qualified voters of the (name of taxing unit) may not petition the (name of taxing unit) to require an election to be held to determine whether to reduce the proposed tax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tax rate notice that is provided by a taxing unit on or after the effective date of this Act.  A tax rate notice that is provided by a taxing unit before the effective date of this Act is governed by the law in effect on the date the notice is provided,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