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mileage expense reimbursement for certain temporary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justice is temporarily unable to perform official duties because of absence, recusal, illness, injury, or other disability, the county judge, on the judge's own motion or at the request of the justice of the peace, may appoint a qualified person to serve as temporary justice for the duration of the absence of the justice of the peace from the bench. The commissioners court shall compensate the temporary justice by the day, week, or month in an amount equal to the compensation of the regular justice. </w:t>
      </w:r>
      <w:r>
        <w:rPr>
          <w:u w:val="single"/>
        </w:rPr>
        <w:t xml:space="preserve">If the temporary justice is also serving as a justice of the peace in another justice precinct in the county, the commissioners court may authorize reimbursement for the mileage expenses incurred in performing the official duties of the temporary justice's appointment, notwithstanding Chapter 152, Local Government Code.</w:t>
      </w:r>
      <w:r>
        <w:t xml:space="preserve"> A temporary justice has all the rights and powers of the justice of the peace while serving in that capacity but may not make personnel decisions about, or significant changes in, the justice of the peace's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