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municipal hotel occupancy tax revenue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351.10692, Tax Code, is amended by amending Subsections (a) and (c)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</w:t>
      </w:r>
      <w:r>
        <w:rPr>
          <w:u w:val="single"/>
        </w:rPr>
        <w:t xml:space="preserve">that is</w:t>
      </w:r>
      <w:r>
        <w:t xml:space="preserve"> [</w:t>
      </w:r>
      <w:r>
        <w:rPr>
          <w:strike/>
        </w:rPr>
        <w:t xml:space="preserve">with a population of less than 2,000</w:t>
      </w:r>
      <w:r>
        <w:t xml:space="preserve">] located in a county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adjacent to the county in which the State Capitol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contains</w:t>
      </w:r>
      <w:r>
        <w:t xml:space="preserve"> [</w:t>
      </w:r>
      <w:r>
        <w:rPr>
          <w:strike/>
        </w:rPr>
        <w:t xml:space="preserve">has a population of</w:t>
      </w:r>
      <w:r>
        <w:t xml:space="preserve">]: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 headquarters and visitor center for a national historical park dedicated to a former president of the United States</w:t>
      </w:r>
      <w:r>
        <w:t xml:space="preserve"> [</w:t>
      </w:r>
      <w:r>
        <w:rPr>
          <w:strike/>
        </w:rPr>
        <w:t xml:space="preserve">not more than 25,000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more than one area that is certified as a Dark Sky Community by the International Dark-Sky Association as part of the International Dark Sky Places Program</w:t>
      </w:r>
      <w:r xml:space="preserve">
        <w:t> </w:t>
      </w:r>
      <w:r>
        <w:t xml:space="preserve">[</w:t>
      </w:r>
      <w:r>
        <w:rPr>
          <w:strike/>
        </w:rPr>
        <w:t xml:space="preserve">at least 100,000 but not more than 200,000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that uses revenue from the municipal hotel occupancy tax for a purpose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</w:t>
      </w:r>
      <w:r>
        <w:rPr>
          <w:u w:val="single"/>
        </w:rPr>
        <w:t xml:space="preserve">make a good-faith estimate based on reasonable documentation of</w:t>
      </w:r>
      <w:r>
        <w:t xml:space="preserve"> [</w:t>
      </w:r>
      <w:r>
        <w:rPr>
          <w:strike/>
        </w:rPr>
        <w:t xml:space="preserve">determine</w:t>
      </w:r>
      <w:r>
        <w:t xml:space="preserve">] the </w:t>
      </w:r>
      <w:r>
        <w:rPr>
          <w:u w:val="single"/>
        </w:rPr>
        <w:t xml:space="preserve">annual</w:t>
      </w:r>
      <w:r>
        <w:t xml:space="preserve"> amount of area hotel revenue attributable to dark skies related events and activities [</w:t>
      </w:r>
      <w:r>
        <w:rPr>
          <w:strike/>
        </w:rPr>
        <w:t xml:space="preserve">for five years after the date the municipality first uses hotel occupancy tax revenue for a purpose described by Subsection (b)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spend municipal hotel occupancy tax revenue for the purposes described by Subsection (b) in </w:t>
      </w:r>
      <w:r>
        <w:rPr>
          <w:u w:val="single"/>
        </w:rPr>
        <w:t xml:space="preserve">an annual</w:t>
      </w:r>
      <w:r>
        <w:t xml:space="preserve"> </w:t>
      </w:r>
      <w:r>
        <w:t xml:space="preserve">[</w:t>
      </w:r>
      <w:r>
        <w:rPr>
          <w:strike/>
        </w:rPr>
        <w:t xml:space="preserve">a total</w:t>
      </w:r>
      <w:r>
        <w:t xml:space="preserve">] amount that exceeds the amount determined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uses municipal hotel occupancy tax revenue under this section may not reduce the percentage of revenue from that tax allocated for a purpose described by Section 351.101(a)(3) to a percentage that is less than the average percentage of the revenue from that tax allocated by the municipality for the purpose described by Section 351.101(a)(3) during the 36-month period preceding the date the municipality begins using revenue for a purpose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