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87R6040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Cain, Perez, Paul, 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imposition of tolls on Fairmont Parkway in Harris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228.011(a),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a county acting under Chapter 284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widening, expansion, reconstruction, and continued operation of existing toll projects of the county;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development, construction, and operation of all or a portion of any of the following toll projects, a component of that project, or the functional equivalent of that project: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Beltway 8 Tollway East, between US 59 North and US 90 East;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Hardy Downtown Connector, consisting of the proposed direct connection from the Hardy Toll Road southern terminus at Loop 610 to downtown Houston;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State Highway 288, between US 59 and Grand Parkway South (State Highway 99);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US 290 Toll Lanes, between IH 610 West and the Grand Parkway Northwest (State Highway 99);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Fairmont Parkway East, between Beltway 8 East and Grand Parkway East (State Highway 99);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South Post Oak Road Extension, between IH 610 South and near the intersection of Beltway 8 and Hillcroft in the vicinity of the Fort Bend Parkway Tollway;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Westpark Toll Road Phase II, between Grand Parkway (State Highway 99) and FM 1463;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Fort Bend Parkway, between State Highway 6 and the Brazos River;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Montgomery County Parkway, between State Highway 242 and the Grand Parkway (State Highway 99), and if the Grand Parkway project has not begun construction, a nontolled extension of the Montgomery County Parkway to allow a connection to Interstate Highway 45.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372, Transportation Code, is amended by adding Section 372.059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372.059.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FAIRMONT PARKWAY.  A toll project entity may not impose a toll on any portion of Fairmont Parkway in Harris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