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87R1419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w:t>
      </w:r>
      <w:r xml:space="preserve">
        <w:tab wTab="150" tlc="none" cTlc="0"/>
      </w:r>
      <w:r>
        <w:t xml:space="preserve">H.B.</w:t>
      </w:r>
      <w:r xml:space="preserve">
        <w:t> </w:t>
      </w:r>
      <w:r>
        <w:t xml:space="preserve">No.</w:t>
      </w:r>
      <w:r xml:space="preserve">
        <w:t> </w:t>
      </w:r>
      <w:r>
        <w:t xml:space="preserve">2436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community pretrial review panel by each county for the resolution and diversion of certain misdemeanor cases out of the criminal justice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2.026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2.026.</w:t>
      </w:r>
      <w:r>
        <w:rPr>
          <w:u w:val="single"/>
        </w:rPr>
        <w:t xml:space="preserve"> </w:t>
      </w:r>
      <w:r>
        <w:rPr>
          <w:u w:val="single"/>
        </w:rPr>
        <w:t xml:space="preserve"> </w:t>
      </w:r>
      <w:r>
        <w:rPr>
          <w:u w:val="single"/>
        </w:rPr>
        <w:t xml:space="preserve">DUTY OF PROSECUTING ATTORNEY TO REFER CERTAIN CASES TO COMMUNITY PRETRIAL REVIEW PANEL.  (a) This article applies only to a criminal case for: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offense punishable by fine only;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Class B misdemeanor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481.121, Health and Safety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Section 481.1161, Health and Safety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Section 28.03, Penal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Section 28.08, Penal Code;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Section 31.03, Penal Code, if the offense is punishable under Subsection (e)(2)(A) of that section;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Section 31.04, Penal Code;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Section 38.114, Penal Code;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Section 521.457, Transportation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prosecuting attorney, before offering a plea agreement in a case described by Subsection (a), may refer the case and all relevant evidence in the possession of the state for review by the community pretrial review panel established under Subchapter J, Chapter 351, Local Government Code, for the county in which the case is to be tried.</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case is not eligible for referral to a community pretrial review panel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has been previously convicted of two or more offenses;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has had two cases previously referred to a community pretrial review panel.</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prosecuting attorney does not refer an eligible case to the applicable community pretrial review panel, the prosecuting attorney shall provide the panel with the attorney's reasons for not referring the case.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prosecuting attorney does not follow the recommendation as to the resolution of the case made by a community pretrial review panel under Section 351.256(5), Local Government Code, the prosecuting attorney shall provide the panel with the attorney's reasons for not following the recommendation.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411, Government Code, is amended by adding Section 411.0892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411.0892.</w:t>
      </w:r>
      <w:r>
        <w:rPr>
          <w:u w:val="single"/>
        </w:rPr>
        <w:t xml:space="preserve"> </w:t>
      </w:r>
      <w:r>
        <w:rPr>
          <w:u w:val="single"/>
        </w:rPr>
        <w:t xml:space="preserve"> </w:t>
      </w:r>
      <w:r>
        <w:rPr>
          <w:u w:val="single"/>
        </w:rPr>
        <w:t xml:space="preserve">ACCESS TO CRIMINAL HISTORY RECORD INFORMATION: COMMUNITY PRETRIAL REVIEW PANELS. (a) A community pretrial review panel established under Subchapter J, Chapter 351, Local Government Code, is entitled to obtain from the department any criminal history record information maintained by the department about a defendant or witness in a case referred to the panel.</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Criminal history record information obtained by a community pretrial review panel may be used only for a purpose authorized by Subchapter J, Chapter 351, Local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351, Local Government Code, is amended by adding Subchapter J to read as follows:</w:t>
      </w:r>
    </w:p>
    <w:p w:rsidR="003F3435" w:rsidRDefault="0032493E">
      <w:pPr>
        <w:spacing w:line="480" w:lineRule="auto"/>
        <w:jc w:val="center"/>
      </w:pPr>
      <w:r>
        <w:rPr>
          <w:u w:val="single"/>
        </w:rPr>
        <w:t xml:space="preserve">SUBCHAPTER J. COMMUNITY PRETRIAL REVIEW PANELS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351.251.</w:t>
      </w:r>
      <w:r>
        <w:rPr>
          <w:u w:val="single"/>
        </w:rPr>
        <w:t xml:space="preserve"> </w:t>
      </w:r>
      <w:r>
        <w:rPr>
          <w:u w:val="single"/>
        </w:rPr>
        <w:t xml:space="preserve"> </w:t>
      </w:r>
      <w:r>
        <w:rPr>
          <w:u w:val="single"/>
        </w:rPr>
        <w:t xml:space="preserve">DEFINITION.  In this subchapter, "panel" means a community pretrial review panel established under Section 351.252.</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351.252.</w:t>
      </w:r>
      <w:r>
        <w:rPr>
          <w:u w:val="single"/>
        </w:rPr>
        <w:t xml:space="preserve"> </w:t>
      </w:r>
      <w:r>
        <w:rPr>
          <w:u w:val="single"/>
        </w:rPr>
        <w:t xml:space="preserve"> </w:t>
      </w:r>
      <w:r>
        <w:rPr>
          <w:u w:val="single"/>
        </w:rPr>
        <w:t xml:space="preserve">ESTABLISHMENT OF PANEL.  Each county commissioners court shall establish a panel for the resolution and diversion  of cases described by Article 2.026, Code of Criminal Procedure, out of the criminal justice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351.253.</w:t>
      </w:r>
      <w:r>
        <w:rPr>
          <w:u w:val="single"/>
        </w:rPr>
        <w:t xml:space="preserve"> </w:t>
      </w:r>
      <w:r>
        <w:rPr>
          <w:u w:val="single"/>
        </w:rPr>
        <w:t xml:space="preserve"> </w:t>
      </w:r>
      <w:r>
        <w:rPr>
          <w:u w:val="single"/>
        </w:rPr>
        <w:t xml:space="preserve">COMPOSITION.  (a) Each panel is composed of the following six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appointed by the county commissioners court, who serves as the presiding officer of the panel;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county judge;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appointed by each county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member of the panel must be qualified to serve as a juror under Section 62.102,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member appointed under Subsection (a)(1)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previously served as a justice of the peace;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an attorney licensed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351.254.</w:t>
      </w:r>
      <w:r>
        <w:rPr>
          <w:u w:val="single"/>
        </w:rPr>
        <w:t xml:space="preserve"> </w:t>
      </w:r>
      <w:r>
        <w:rPr>
          <w:u w:val="single"/>
        </w:rPr>
        <w:t xml:space="preserve"> </w:t>
      </w:r>
      <w:r>
        <w:rPr>
          <w:u w:val="single"/>
        </w:rPr>
        <w:t xml:space="preserve">TERMS; VACANCY.  (a) Panel members serve four-year terms.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vacancy occurs on a panel, the appropriate appointing authority shall appoint a successor in the same manner as the original appointment to serve for the remainder of the unexpired term.</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351.255.</w:t>
      </w:r>
      <w:r>
        <w:rPr>
          <w:u w:val="single"/>
        </w:rPr>
        <w:t xml:space="preserve"> </w:t>
      </w:r>
      <w:r>
        <w:rPr>
          <w:u w:val="single"/>
        </w:rPr>
        <w:t xml:space="preserve"> </w:t>
      </w:r>
      <w:r>
        <w:rPr>
          <w:u w:val="single"/>
        </w:rPr>
        <w:t xml:space="preserve">COMPENSATION; REIMBURSEMENT. Panel members serve without compensation and are not entitled to reimbursement for travel or other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351.256.</w:t>
      </w:r>
      <w:r>
        <w:rPr>
          <w:u w:val="single"/>
        </w:rPr>
        <w:t xml:space="preserve"> </w:t>
      </w:r>
      <w:r>
        <w:rPr>
          <w:u w:val="single"/>
        </w:rPr>
        <w:t xml:space="preserve"> </w:t>
      </w:r>
      <w:r>
        <w:rPr>
          <w:u w:val="single"/>
        </w:rPr>
        <w:t xml:space="preserve">POWERS AND DUTIES.  For each case referred to a panel under Article 2.026, Code of Criminal Procedure, the panel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charging instrument and the defendant's relevant criminal history;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inspect available witness statements, offense reports, citations, probable cause affidavits, and other relevant evidence;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consult with the prosecuting attorney and defense counsel;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consider the root causes of the defendant's conduct;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recommend to the prosecuting attorney a just and rehabilitative plea agreement that resolves the case in a manner that avoids confinement in jail or a final conviction for the defendant; and</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monitor the defendant's compliance with any release or dismissal conditions not otherwise monitored by a community supervision and corrections department or a department, division, or program responsible for pretrial diversion.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351.257.</w:t>
      </w:r>
      <w:r>
        <w:rPr>
          <w:u w:val="single"/>
        </w:rPr>
        <w:t xml:space="preserve"> </w:t>
      </w:r>
      <w:r>
        <w:rPr>
          <w:u w:val="single"/>
        </w:rPr>
        <w:t xml:space="preserve"> </w:t>
      </w:r>
      <w:r>
        <w:rPr>
          <w:u w:val="single"/>
        </w:rPr>
        <w:t xml:space="preserve">REFERRAL FOR TRIAL.  If a defendant or defense counsel refuses to cooperate with the panel or declines the agreement recommended by the panel, the panel may refer the case back to the prosecuting attorney for continued plea negotiation or trial.</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351.258.</w:t>
      </w:r>
      <w:r>
        <w:rPr>
          <w:u w:val="single"/>
        </w:rPr>
        <w:t xml:space="preserve"> </w:t>
      </w:r>
      <w:r>
        <w:rPr>
          <w:u w:val="single"/>
        </w:rPr>
        <w:t xml:space="preserve"> </w:t>
      </w:r>
      <w:r>
        <w:rPr>
          <w:u w:val="single"/>
        </w:rPr>
        <w:t xml:space="preserve">CONFIDENTIALITY.  All evidence, records, or other material collected or created by a panel is confidential and is not subject to disclosure under Chapter 552,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Not later than December 1, 2021, the commissioners court of each county shall establish a community pretrial review panel and the appropriate appointing authorities shall appoint members to the panel as required by Subchapter J, Chapter 351, Local Government Code, as added by this Act.</w:t>
      </w:r>
    </w:p>
    <w:p w:rsidR="003F3435" w:rsidRDefault="0032493E">
      <w:pPr>
        <w:spacing w:line="480" w:lineRule="auto"/>
        <w:ind w:firstLine="720"/>
        <w:jc w:val="both"/>
      </w:pPr>
      <w:r>
        <w:t xml:space="preserve">(b)</w:t>
      </w:r>
      <w:r xml:space="preserve">
        <w:t> </w:t>
      </w:r>
      <w:r xml:space="preserve">
        <w:t> </w:t>
      </w:r>
      <w:r>
        <w:t xml:space="preserve">Article 2.026, Code of Criminal Procedure, as added by this Act, applies only to an offense committed on or after January 1, 2022. An offense committed before January 1, 2022, is governed by the law in effect on the date the offense was committed, and the former law is continued in effect for that purpose. For purposes of this subsection, an offense was committed before January 1, 2022,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