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87R18373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2447: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suits against a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209, Property Code, is amended by adding Section 209.017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209.017.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JUSTICE COURT JURISDICTION.  An owner of property in a subdivision may bring an action for a violation of this chapter against the property owners' association of the subdivision in the justice court of a precinct in which all or part of the subdivision is located.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209.017, Property Code, as added by this Act, applies only to an action brought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