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87R10021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law enforcement policies prohibiting a peace officer from making a motor vehicle stop on the shoulder of certain highways.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LAW ENFORCEMENT POLICY PROHIBITING MOTOR VEHICLE STOP ON SHOULDER OF CERTAIN HIGHWAYS.  (a) In this article: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"Controlled access highway" has the meaning assigned by Section 203.001, Transportation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"Law enforcement agency" means an agency of the state or an agency of a political subdivision of the state authorized by law to employ peace officers.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 vehicle stop" has the meaning assigned by Article 2.132.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law enforcement agency in this state shall adopt a policy prohibiting a peace officer of the agency from making a motor vehicle stop on the shoulder of a controlled access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each law enforcement agency in this state shall adopt the policy required by Article 2.33, Code of Criminal Procedure,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