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87R2591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preferential voting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PREFERENTIAL VOTING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USE OPTIONAL. The governing body of a municipality or independent school district may authorize the use of preferential voting as provided by this subchapter for a nonpartisan election of an officer of the municipality or school district, as appropriate,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ADOPTION OF PREFERENTIAL VOTING PROCEDURES.  (a)  The secretary of state shall prescribe procedures to allow for an election of an office requiring a majority vote using a preferential voting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a voter to rank each candidate for an office through a numerical designation from the candidate the voter favors most to the candidate the voter favors least.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DETERMINATION OF ELECTION RESULT.  (a)  If no candidate receives a majority of the votes cast designating the highest favorable ranking for an office, the votes of the candidate receiving the fewest number of votes are reassigned to the candidate ranking next highest in the preference of a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reassigning votes under Subsection (a) no candidate receives a majority of the votes cast designating the modified highest favorable ranking, the reassignment of a vote to a voter's next most preferred candidate under Subsection (a) continues until one candidate receives a majority.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PRIMARY NOT HELD; FILING PERIOD.  (a)  A primary election is not held for an office to which this subchapter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filing deadline for an application for a place on the ballot for an office to which this subchapter applies that is filled at the general election for state and county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w:t>
      </w:r>
      <w:r>
        <w:rPr>
          <w:u w:val="single"/>
        </w:rPr>
        <w:t xml:space="preserve"> </w:t>
      </w:r>
      <w:r>
        <w:rPr>
          <w:u w:val="single"/>
        </w:rPr>
        <w:t xml:space="preserve"> </w:t>
      </w:r>
      <w:r>
        <w:rPr>
          <w:u w:val="single"/>
        </w:rPr>
        <w:t xml:space="preserve">RUNOFF ELECTION NOT HELD.  Notwithstanding any other law, a runoff election is not held for an office to which this subchapter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