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87R4360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2462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forensic medical examination occurring with respect to a sexual assault reported to a law enforcement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56A.251, Code of Criminal Procedure, is amended to conform to Section 3,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56A.251.</w:t>
      </w:r>
      <w:r xml:space="preserve">
        <w:t> </w:t>
      </w:r>
      <w:r xml:space="preserve">
        <w:t> </w:t>
      </w:r>
      <w:r>
        <w:t xml:space="preserve">REQUEST FOR FORENSIC MEDICAL EXAMINATION.  (a) </w:t>
      </w:r>
      <w:r>
        <w:t xml:space="preserve"> </w:t>
      </w:r>
      <w:r>
        <w:rPr>
          <w:u w:val="single"/>
        </w:rPr>
        <w:t xml:space="preserve">If</w:t>
      </w:r>
      <w:r>
        <w:t xml:space="preserve"> [</w:t>
      </w:r>
      <w:r>
        <w:rPr>
          <w:strike/>
        </w:rPr>
        <w:t xml:space="preserve">Except as provided by Subsection (b), if</w:t>
      </w:r>
      <w:r>
        <w:t xml:space="preserve">] a sexual assault is reported to a law enforcement agency within </w:t>
      </w:r>
      <w:r>
        <w:rPr>
          <w:u w:val="single"/>
        </w:rPr>
        <w:t xml:space="preserve">120</w:t>
      </w:r>
      <w:r>
        <w:t xml:space="preserve"> [</w:t>
      </w:r>
      <w:r>
        <w:rPr>
          <w:strike/>
        </w:rPr>
        <w:t xml:space="preserve">96</w:t>
      </w:r>
      <w:r>
        <w:t xml:space="preserve">] hours after the assault, the law enforcement agency, with the consent of the victim of the </w:t>
      </w:r>
      <w:r>
        <w:rPr>
          <w:u w:val="single"/>
        </w:rPr>
        <w:t xml:space="preserve">reported</w:t>
      </w:r>
      <w:r>
        <w:t xml:space="preserve"> [</w:t>
      </w:r>
      <w:r>
        <w:rPr>
          <w:strike/>
        </w:rPr>
        <w:t xml:space="preserve">alleged</w:t>
      </w:r>
      <w:r>
        <w:t xml:space="preserve">]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law enforcement agency may decline to request a forensic medical examination under Subsection (a) 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reporting the sexual assault has made one or more false reports of sexual assault to any law enforcement agency;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there is no other evidence to corroborate the current allegations of sexual assault.</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If a sexual assault is not reported within the period described by Subsection (a), on receiving the consent described by </w:t>
      </w:r>
      <w:r>
        <w:rPr>
          <w:u w:val="single"/>
        </w:rPr>
        <w:t xml:space="preserve">Subsection (a),</w:t>
      </w:r>
      <w:r>
        <w:t xml:space="preserve"> [</w:t>
      </w:r>
      <w:r>
        <w:rPr>
          <w:strike/>
        </w:rPr>
        <w:t xml:space="preserve">that subsection</w:t>
      </w:r>
      <w:r>
        <w:t xml:space="preserve">] a law enforcement agency may request a forensic medical examination of a victim of </w:t>
      </w:r>
      <w:r>
        <w:rPr>
          <w:u w:val="single"/>
        </w:rPr>
        <w:t xml:space="preserve">a reported</w:t>
      </w:r>
      <w:r>
        <w:t xml:space="preserve"> [</w:t>
      </w:r>
      <w:r>
        <w:rPr>
          <w:strike/>
        </w:rPr>
        <w:t xml:space="preserve">an alleged</w:t>
      </w:r>
      <w:r>
        <w:t xml:space="preserve">] sexual assault </w:t>
      </w:r>
      <w:r>
        <w:rPr>
          <w:u w:val="single"/>
        </w:rPr>
        <w:t xml:space="preserve">for use in the investigation or prosecution of the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circumstances of the reported assault, the agency believes a forensic medical examination would further that investigation or prosecution;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medical evaluation by a physician, sexual assault examiner, or sexual assault nurse examiner, the physician or examiner notifies the agency that a forensic medical examination should be conducted</w:t>
      </w:r>
      <w:r>
        <w:t xml:space="preserve"> [</w:t>
      </w:r>
      <w:r>
        <w:rPr>
          <w:strike/>
        </w:rPr>
        <w:t xml:space="preserve">as considered appropriate by the agency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sexual assault is reported to a law enforcement agency as provided by Subsection (a) or (b), the law enforcement agency shall document, in the form and manner required by the attorney general, whether the agency requested a forensic medical examination. </w:t>
      </w:r>
      <w:r>
        <w:rPr>
          <w:u w:val="single"/>
        </w:rPr>
        <w:t xml:space="preserve"> </w:t>
      </w:r>
      <w:r>
        <w:rPr>
          <w:u w:val="single"/>
        </w:rPr>
        <w:t xml:space="preserve">The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documentation of the agency's decision regarding a request for a forensic medical examination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care facility and the physician, sexual assault examiner, or sexual assault nurse examiner, as applicable, who provides services to the victim that are related to the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victim or the person who consented to the forensic medical examination on behalf of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documentation of the agency's decision in accordance with the agency's record retention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sexual assault reported on or after the effective date of this Act. </w:t>
      </w:r>
      <w:r>
        <w:t xml:space="preserve"> </w:t>
      </w:r>
      <w:r>
        <w:t xml:space="preserve">A sexual assault reported before the effective date of this Act is governed by the law in effect on the date the sexual assault was reported,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